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8" w:after="0"/>
        <w:rPr>
          <w:rFonts w:ascii="Calibri" w:eastAsia="Calibri" w:hAnsi="Calibri" w:cs="Calibri"/>
          <w:b/>
          <w:bCs/>
          <w:sz w:val="19"/>
          <w:szCs w:val="19"/>
        </w:rPr>
      </w:pPr>
    </w:p>
    <w:p>
      <w:pPr>
        <w:pStyle w:val="Heading1"/>
        <w:keepNext w:val="0"/>
        <w:keepLines w:val="0"/>
        <w:spacing w:before="1" w:after="19"/>
        <w:ind w:left="1400" w:right="1416"/>
        <w:jc w:val="both"/>
        <w:rPr>
          <w:b/>
          <w:bCs/>
        </w:rPr>
      </w:pPr>
      <w:r>
        <w:rPr>
          <w:rFonts w:ascii="Calibri" w:eastAsia="Calibri" w:hAnsi="Calibri" w:cs="Calibri"/>
          <w:i w:val="0"/>
          <w:color w:val="auto"/>
          <w:sz w:val="22"/>
          <w:szCs w:val="22"/>
        </w:rPr>
        <w:t>YOU</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HAVE</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RECEIVED</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A</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COPY</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OF</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THIS</w:t>
      </w:r>
      <w:r>
        <w:rPr>
          <w:rFonts w:ascii="Calibri" w:eastAsia="Calibri" w:hAnsi="Calibri" w:cs="Calibri"/>
          <w:i w:val="0"/>
          <w:color w:val="auto"/>
          <w:spacing w:val="-9"/>
          <w:sz w:val="22"/>
          <w:szCs w:val="22"/>
        </w:rPr>
        <w:t xml:space="preserve"> </w:t>
      </w:r>
      <w:r>
        <w:rPr>
          <w:rFonts w:ascii="Calibri" w:eastAsia="Calibri" w:hAnsi="Calibri" w:cs="Calibri"/>
          <w:i w:val="0"/>
          <w:color w:val="auto"/>
          <w:sz w:val="22"/>
          <w:szCs w:val="22"/>
        </w:rPr>
        <w:t>NOTICE</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BECAUSE</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YOU</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HOLD</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AN</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INTEREST</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IN</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A</w:t>
      </w:r>
      <w:r>
        <w:rPr>
          <w:rFonts w:ascii="Calibri" w:eastAsia="Calibri" w:hAnsi="Calibri" w:cs="Calibri"/>
          <w:i w:val="0"/>
          <w:color w:val="auto"/>
          <w:spacing w:val="-10"/>
          <w:sz w:val="22"/>
          <w:szCs w:val="22"/>
        </w:rPr>
        <w:t xml:space="preserve"> </w:t>
      </w:r>
      <w:r>
        <w:rPr>
          <w:rFonts w:ascii="Calibri" w:eastAsia="Calibri" w:hAnsi="Calibri" w:cs="Calibri"/>
          <w:i w:val="0"/>
          <w:color w:val="auto"/>
          <w:sz w:val="22"/>
          <w:szCs w:val="22"/>
        </w:rPr>
        <w:t>CAYMAN</w:t>
      </w:r>
      <w:r>
        <w:rPr>
          <w:rFonts w:ascii="Calibri" w:eastAsia="Calibri" w:hAnsi="Calibri" w:cs="Calibri"/>
          <w:i w:val="0"/>
          <w:color w:val="auto"/>
          <w:spacing w:val="-11"/>
          <w:sz w:val="22"/>
          <w:szCs w:val="22"/>
        </w:rPr>
        <w:t xml:space="preserve"> </w:t>
      </w:r>
      <w:r>
        <w:rPr>
          <w:rFonts w:ascii="Calibri" w:eastAsia="Calibri" w:hAnsi="Calibri" w:cs="Calibri"/>
          <w:i w:val="0"/>
          <w:color w:val="auto"/>
          <w:sz w:val="22"/>
          <w:szCs w:val="22"/>
        </w:rPr>
        <w:t>ISLANDS- DOMICILED LIMITED PARTNERSHIP COMPANY OR OTHER INVESTMENT VEHICLE (EACH, AN “INVESTMENT VEHICLE”). THE FOLLOWING NOTICE APPLIES TO YOUR INVESTMENT(S) IN SUCH INVESTMENT</w:t>
      </w:r>
      <w:r>
        <w:rPr>
          <w:rFonts w:ascii="Calibri" w:eastAsia="Calibri" w:hAnsi="Calibri" w:cs="Calibri"/>
          <w:i w:val="0"/>
          <w:color w:val="auto"/>
          <w:spacing w:val="-2"/>
          <w:sz w:val="22"/>
          <w:szCs w:val="22"/>
        </w:rPr>
        <w:t xml:space="preserve"> </w:t>
      </w:r>
      <w:r>
        <w:rPr>
          <w:rFonts w:ascii="Calibri" w:eastAsia="Calibri" w:hAnsi="Calibri" w:cs="Calibri"/>
          <w:i w:val="0"/>
          <w:color w:val="auto"/>
          <w:sz w:val="22"/>
          <w:szCs w:val="22"/>
        </w:rPr>
        <w:t>VEHICLE.</w:t>
      </w:r>
    </w:p>
    <w:p>
      <w:pPr>
        <w:spacing w:before="0" w:after="0" w:line="20" w:lineRule="atLeast"/>
        <w:ind w:left="1370"/>
      </w:pPr>
      <w:r>
        <w:rPr>
          <w:strike w:val="0"/>
          <w:u w:val="none"/>
        </w:rPr>
        <w:drawing>
          <wp:inline>
            <wp:extent cx="5991225" cy="19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91225" cy="19050"/>
                    </a:xfrm>
                    <a:prstGeom prst="rect">
                      <a:avLst/>
                    </a:prstGeom>
                  </pic:spPr>
                </pic:pic>
              </a:graphicData>
            </a:graphic>
          </wp:inline>
        </w:drawing>
      </w:r>
    </w:p>
    <w:p>
      <w:pPr>
        <w:spacing w:before="109" w:after="0"/>
        <w:ind w:left="5427"/>
      </w:pPr>
      <w:r>
        <w:rPr>
          <w:b/>
          <w:bCs/>
        </w:rPr>
        <w:t>Privacy Notice</w:t>
      </w:r>
    </w:p>
    <w:p>
      <w:pPr>
        <w:pStyle w:val="Heading1"/>
        <w:keepNext w:val="0"/>
        <w:keepLines w:val="0"/>
        <w:spacing w:before="120"/>
        <w:ind w:left="1399"/>
        <w:rPr>
          <w:b/>
          <w:bCs/>
        </w:rPr>
      </w:pPr>
      <w:r>
        <w:rPr>
          <w:rFonts w:ascii="Calibri" w:eastAsia="Calibri" w:hAnsi="Calibri" w:cs="Calibri"/>
          <w:i w:val="0"/>
          <w:color w:val="auto"/>
          <w:sz w:val="22"/>
          <w:szCs w:val="22"/>
        </w:rPr>
        <w:t>Introduction</w:t>
      </w:r>
    </w:p>
    <w:p>
      <w:pPr>
        <w:spacing w:before="119" w:after="0"/>
        <w:ind w:left="1400" w:right="1417"/>
        <w:jc w:val="both"/>
      </w:pPr>
      <w:r>
        <w:t>Each subsidiary of ORIX Corporation USA (“</w:t>
      </w:r>
      <w:r>
        <w:rPr>
          <w:b/>
          <w:bCs/>
          <w:u w:val="single"/>
        </w:rPr>
        <w:t>ORIX USA</w:t>
      </w:r>
      <w:r>
        <w:t>”) that is registered as an investment adviser with the SEC (each an “</w:t>
      </w:r>
      <w:r>
        <w:rPr>
          <w:b/>
          <w:bCs/>
        </w:rPr>
        <w:t>RIA</w:t>
      </w:r>
      <w:r>
        <w:t>” and, collectively, the “</w:t>
      </w:r>
      <w:r>
        <w:rPr>
          <w:b/>
          <w:bCs/>
        </w:rPr>
        <w:t>RIAs</w:t>
      </w:r>
      <w:r>
        <w:t>”) process personal information. Respecting and protecting customer privacy has always been important to our business. This notice describes how each RIA gathers and uses personal information about you. The purpose of this notice is to provide you with the information on our use of your personal data in accordance with the Cayman Islands Data Protection Act (the “DPA”). The DPA, effective September 30, 2019, is applicable to individual persons associated with any Cayman Island-domiciled investment vehicle offered by the RIA. The DPA is based on a set of internationally recognized privacy principles, and provides a framework of rights and duties designed to give individuals greater control over their personal data. This does not change the manner in which we use or intend to use your personal data. The RIA recognizes the importance of safeguarding</w:t>
      </w:r>
      <w:r>
        <w:rPr>
          <w:spacing w:val="-8"/>
        </w:rPr>
        <w:t xml:space="preserve"> </w:t>
      </w:r>
      <w:r>
        <w:t>personal</w:t>
      </w:r>
      <w:r>
        <w:rPr>
          <w:spacing w:val="-9"/>
        </w:rPr>
        <w:t xml:space="preserve"> </w:t>
      </w:r>
      <w:r>
        <w:t>data</w:t>
      </w:r>
      <w:r>
        <w:rPr>
          <w:spacing w:val="-7"/>
        </w:rPr>
        <w:t xml:space="preserve"> </w:t>
      </w:r>
      <w:r>
        <w:t>and</w:t>
      </w:r>
      <w:r>
        <w:rPr>
          <w:spacing w:val="-9"/>
        </w:rPr>
        <w:t xml:space="preserve"> </w:t>
      </w:r>
      <w:r>
        <w:t>the</w:t>
      </w:r>
      <w:r>
        <w:rPr>
          <w:spacing w:val="-8"/>
        </w:rPr>
        <w:t xml:space="preserve"> </w:t>
      </w:r>
      <w:r>
        <w:t>trust</w:t>
      </w:r>
      <w:r>
        <w:rPr>
          <w:spacing w:val="-8"/>
        </w:rPr>
        <w:t xml:space="preserve"> </w:t>
      </w:r>
      <w:r>
        <w:t>clients</w:t>
      </w:r>
      <w:r>
        <w:rPr>
          <w:spacing w:val="-8"/>
        </w:rPr>
        <w:t xml:space="preserve"> </w:t>
      </w:r>
      <w:r>
        <w:t>and</w:t>
      </w:r>
      <w:r>
        <w:rPr>
          <w:spacing w:val="-8"/>
        </w:rPr>
        <w:t xml:space="preserve"> </w:t>
      </w:r>
      <w:r>
        <w:t>investors</w:t>
      </w:r>
      <w:r>
        <w:rPr>
          <w:spacing w:val="-8"/>
        </w:rPr>
        <w:t xml:space="preserve"> </w:t>
      </w:r>
      <w:r>
        <w:t>place</w:t>
      </w:r>
      <w:r>
        <w:rPr>
          <w:spacing w:val="-8"/>
        </w:rPr>
        <w:t xml:space="preserve"> </w:t>
      </w:r>
      <w:r>
        <w:t>in</w:t>
      </w:r>
      <w:r>
        <w:rPr>
          <w:spacing w:val="-8"/>
        </w:rPr>
        <w:t xml:space="preserve"> </w:t>
      </w:r>
      <w:r>
        <w:t>the</w:t>
      </w:r>
      <w:r>
        <w:rPr>
          <w:spacing w:val="-8"/>
        </w:rPr>
        <w:t xml:space="preserve"> </w:t>
      </w:r>
      <w:r>
        <w:t>RIA</w:t>
      </w:r>
      <w:r>
        <w:rPr>
          <w:spacing w:val="-10"/>
        </w:rPr>
        <w:t xml:space="preserve"> </w:t>
      </w:r>
      <w:r>
        <w:t>in</w:t>
      </w:r>
      <w:r>
        <w:rPr>
          <w:spacing w:val="-8"/>
        </w:rPr>
        <w:t xml:space="preserve"> </w:t>
      </w:r>
      <w:r>
        <w:t>allowing</w:t>
      </w:r>
      <w:r>
        <w:rPr>
          <w:spacing w:val="-8"/>
        </w:rPr>
        <w:t xml:space="preserve"> </w:t>
      </w:r>
      <w:r>
        <w:t>us</w:t>
      </w:r>
      <w:r>
        <w:rPr>
          <w:spacing w:val="-8"/>
        </w:rPr>
        <w:t xml:space="preserve"> </w:t>
      </w:r>
      <w:r>
        <w:t>to</w:t>
      </w:r>
      <w:r>
        <w:rPr>
          <w:spacing w:val="-7"/>
        </w:rPr>
        <w:t xml:space="preserve"> </w:t>
      </w:r>
      <w:r>
        <w:t>access</w:t>
      </w:r>
      <w:r>
        <w:rPr>
          <w:spacing w:val="-7"/>
        </w:rPr>
        <w:t xml:space="preserve"> </w:t>
      </w:r>
      <w:r>
        <w:t>this data. It is important to note that privacy practices may vary among the jurisdictions in which we operate to reflect local practices and legal</w:t>
      </w:r>
      <w:r>
        <w:rPr>
          <w:spacing w:val="-6"/>
        </w:rPr>
        <w:t xml:space="preserve"> </w:t>
      </w:r>
      <w:r>
        <w:t>requirements.</w:t>
      </w:r>
    </w:p>
    <w:p>
      <w:pPr>
        <w:pStyle w:val="Heading1"/>
        <w:keepNext w:val="0"/>
        <w:keepLines w:val="0"/>
        <w:spacing w:before="121"/>
        <w:ind w:left="1400"/>
        <w:jc w:val="both"/>
        <w:rPr>
          <w:b/>
          <w:bCs/>
        </w:rPr>
      </w:pPr>
      <w:r>
        <w:rPr>
          <w:rFonts w:ascii="Calibri" w:eastAsia="Calibri" w:hAnsi="Calibri" w:cs="Calibri"/>
          <w:i w:val="0"/>
          <w:color w:val="auto"/>
          <w:sz w:val="22"/>
          <w:szCs w:val="22"/>
        </w:rPr>
        <w:t>Investor Data</w:t>
      </w:r>
    </w:p>
    <w:p>
      <w:pPr>
        <w:spacing w:before="120" w:after="0"/>
        <w:ind w:left="1400" w:right="1415"/>
        <w:jc w:val="both"/>
      </w:pPr>
      <w:r>
        <w:t>By</w:t>
      </w:r>
      <w:r>
        <w:rPr>
          <w:spacing w:val="-5"/>
        </w:rPr>
        <w:t xml:space="preserve"> </w:t>
      </w:r>
      <w:r>
        <w:t>virtue</w:t>
      </w:r>
      <w:r>
        <w:rPr>
          <w:spacing w:val="-5"/>
        </w:rPr>
        <w:t xml:space="preserve"> </w:t>
      </w:r>
      <w:r>
        <w:t>of</w:t>
      </w:r>
      <w:r>
        <w:rPr>
          <w:spacing w:val="-4"/>
        </w:rPr>
        <w:t xml:space="preserve"> </w:t>
      </w:r>
      <w:r>
        <w:t>making</w:t>
      </w:r>
      <w:r>
        <w:rPr>
          <w:spacing w:val="-4"/>
        </w:rPr>
        <w:t xml:space="preserve"> </w:t>
      </w:r>
      <w:r>
        <w:t>an</w:t>
      </w:r>
      <w:r>
        <w:rPr>
          <w:spacing w:val="-4"/>
        </w:rPr>
        <w:t xml:space="preserve"> </w:t>
      </w:r>
      <w:r>
        <w:t>investment</w:t>
      </w:r>
      <w:r>
        <w:rPr>
          <w:spacing w:val="-4"/>
        </w:rPr>
        <w:t xml:space="preserve"> </w:t>
      </w:r>
      <w:r>
        <w:t>in</w:t>
      </w:r>
      <w:r>
        <w:rPr>
          <w:spacing w:val="-4"/>
        </w:rPr>
        <w:t xml:space="preserve"> </w:t>
      </w:r>
      <w:r>
        <w:t>a</w:t>
      </w:r>
      <w:r>
        <w:rPr>
          <w:spacing w:val="-4"/>
        </w:rPr>
        <w:t xml:space="preserve"> </w:t>
      </w:r>
      <w:r>
        <w:t>Cayman Islands-domiciled investment vehicles offered by an RIA and</w:t>
      </w:r>
      <w:r>
        <w:rPr>
          <w:spacing w:val="-4"/>
        </w:rPr>
        <w:t xml:space="preserve"> </w:t>
      </w:r>
      <w:r>
        <w:t>your</w:t>
      </w:r>
      <w:r>
        <w:rPr>
          <w:spacing w:val="-4"/>
        </w:rPr>
        <w:t xml:space="preserve"> </w:t>
      </w:r>
      <w:r>
        <w:t>associated</w:t>
      </w:r>
      <w:r>
        <w:rPr>
          <w:spacing w:val="-4"/>
        </w:rPr>
        <w:t xml:space="preserve"> </w:t>
      </w:r>
      <w:r>
        <w:t>interactions</w:t>
      </w:r>
      <w:r>
        <w:rPr>
          <w:spacing w:val="-4"/>
        </w:rPr>
        <w:t xml:space="preserve"> </w:t>
      </w:r>
      <w:r>
        <w:t>with</w:t>
      </w:r>
      <w:r>
        <w:rPr>
          <w:spacing w:val="-4"/>
        </w:rPr>
        <w:t xml:space="preserve"> </w:t>
      </w:r>
      <w:r>
        <w:t>the</w:t>
      </w:r>
      <w:r>
        <w:rPr>
          <w:spacing w:val="-5"/>
        </w:rPr>
        <w:t xml:space="preserve"> </w:t>
      </w:r>
      <w:r>
        <w:t>RIA</w:t>
      </w:r>
      <w:r>
        <w:rPr>
          <w:spacing w:val="-4"/>
        </w:rPr>
        <w:t xml:space="preserve"> </w:t>
      </w:r>
      <w:r>
        <w:t>(including</w:t>
      </w:r>
      <w:r>
        <w:rPr>
          <w:spacing w:val="-4"/>
        </w:rPr>
        <w:t xml:space="preserve"> </w:t>
      </w:r>
      <w:r>
        <w:t>any investment, capital commitment and/or capital contribution (whether past, present or future) and the recording</w:t>
      </w:r>
      <w:r>
        <w:rPr>
          <w:spacing w:val="-9"/>
        </w:rPr>
        <w:t xml:space="preserve"> </w:t>
      </w:r>
      <w:r>
        <w:t>of</w:t>
      </w:r>
      <w:r>
        <w:rPr>
          <w:spacing w:val="-9"/>
        </w:rPr>
        <w:t xml:space="preserve"> </w:t>
      </w:r>
      <w:r>
        <w:t>electronic</w:t>
      </w:r>
      <w:r>
        <w:rPr>
          <w:spacing w:val="-9"/>
        </w:rPr>
        <w:t xml:space="preserve"> </w:t>
      </w:r>
      <w:r>
        <w:t>communications</w:t>
      </w:r>
      <w:r>
        <w:rPr>
          <w:spacing w:val="-8"/>
        </w:rPr>
        <w:t xml:space="preserve"> </w:t>
      </w:r>
      <w:r>
        <w:t>where</w:t>
      </w:r>
      <w:r>
        <w:rPr>
          <w:spacing w:val="-9"/>
        </w:rPr>
        <w:t xml:space="preserve"> </w:t>
      </w:r>
      <w:r>
        <w:t>applicable)</w:t>
      </w:r>
      <w:r>
        <w:rPr>
          <w:spacing w:val="-11"/>
        </w:rPr>
        <w:t xml:space="preserve"> </w:t>
      </w:r>
      <w:r>
        <w:t>or</w:t>
      </w:r>
      <w:r>
        <w:rPr>
          <w:spacing w:val="-8"/>
        </w:rPr>
        <w:t xml:space="preserve"> </w:t>
      </w:r>
      <w:r>
        <w:t>by</w:t>
      </w:r>
      <w:r>
        <w:rPr>
          <w:spacing w:val="-10"/>
        </w:rPr>
        <w:t xml:space="preserve"> </w:t>
      </w:r>
      <w:r>
        <w:t>virtue</w:t>
      </w:r>
      <w:r>
        <w:rPr>
          <w:spacing w:val="-9"/>
        </w:rPr>
        <w:t xml:space="preserve"> </w:t>
      </w:r>
      <w:r>
        <w:t>of</w:t>
      </w:r>
      <w:r>
        <w:rPr>
          <w:spacing w:val="-9"/>
        </w:rPr>
        <w:t xml:space="preserve"> </w:t>
      </w:r>
      <w:r>
        <w:t>you</w:t>
      </w:r>
      <w:r>
        <w:rPr>
          <w:spacing w:val="-9"/>
        </w:rPr>
        <w:t xml:space="preserve"> </w:t>
      </w:r>
      <w:r>
        <w:t>otherwise</w:t>
      </w:r>
      <w:r>
        <w:rPr>
          <w:spacing w:val="-9"/>
        </w:rPr>
        <w:t xml:space="preserve"> </w:t>
      </w:r>
      <w:r>
        <w:t>providing</w:t>
      </w:r>
      <w:r>
        <w:rPr>
          <w:spacing w:val="-8"/>
        </w:rPr>
        <w:t xml:space="preserve"> </w:t>
      </w:r>
      <w:r>
        <w:t>the</w:t>
      </w:r>
      <w:r>
        <w:rPr>
          <w:spacing w:val="-8"/>
        </w:rPr>
        <w:t xml:space="preserve"> </w:t>
      </w:r>
      <w:r>
        <w:t>RIA with personal information of individuals connected with you as an investor (for example directors, trustees, employees, representatives, shareholders, investors, clients, beneficial owners or agents), you will</w:t>
      </w:r>
      <w:r>
        <w:rPr>
          <w:spacing w:val="-15"/>
        </w:rPr>
        <w:t xml:space="preserve"> </w:t>
      </w:r>
      <w:r>
        <w:t>provide</w:t>
      </w:r>
      <w:r>
        <w:rPr>
          <w:spacing w:val="-14"/>
        </w:rPr>
        <w:t xml:space="preserve"> </w:t>
      </w:r>
      <w:r>
        <w:t>the</w:t>
      </w:r>
      <w:r>
        <w:rPr>
          <w:spacing w:val="-13"/>
        </w:rPr>
        <w:t xml:space="preserve"> </w:t>
      </w:r>
      <w:r>
        <w:t>RIA</w:t>
      </w:r>
      <w:r>
        <w:rPr>
          <w:spacing w:val="-14"/>
        </w:rPr>
        <w:t xml:space="preserve"> </w:t>
      </w:r>
      <w:r>
        <w:t>with</w:t>
      </w:r>
      <w:r>
        <w:rPr>
          <w:spacing w:val="-13"/>
        </w:rPr>
        <w:t xml:space="preserve"> </w:t>
      </w:r>
      <w:r>
        <w:t>certain</w:t>
      </w:r>
      <w:r>
        <w:rPr>
          <w:spacing w:val="-15"/>
        </w:rPr>
        <w:t xml:space="preserve"> </w:t>
      </w:r>
      <w:r>
        <w:t>“personal</w:t>
      </w:r>
      <w:r>
        <w:rPr>
          <w:spacing w:val="-15"/>
        </w:rPr>
        <w:t xml:space="preserve"> </w:t>
      </w:r>
      <w:r>
        <w:t>information”</w:t>
      </w:r>
      <w:r>
        <w:rPr>
          <w:spacing w:val="-13"/>
        </w:rPr>
        <w:t xml:space="preserve"> </w:t>
      </w:r>
      <w:r>
        <w:t>that</w:t>
      </w:r>
      <w:r>
        <w:rPr>
          <w:spacing w:val="-13"/>
        </w:rPr>
        <w:t xml:space="preserve"> </w:t>
      </w:r>
      <w:r>
        <w:t>constitutes</w:t>
      </w:r>
      <w:r>
        <w:rPr>
          <w:spacing w:val="-13"/>
        </w:rPr>
        <w:t xml:space="preserve"> </w:t>
      </w:r>
      <w:r>
        <w:t>personal</w:t>
      </w:r>
      <w:r>
        <w:rPr>
          <w:spacing w:val="-14"/>
        </w:rPr>
        <w:t xml:space="preserve"> </w:t>
      </w:r>
      <w:r>
        <w:t>data</w:t>
      </w:r>
      <w:r>
        <w:rPr>
          <w:spacing w:val="-13"/>
        </w:rPr>
        <w:t xml:space="preserve"> </w:t>
      </w:r>
      <w:r>
        <w:t>within</w:t>
      </w:r>
      <w:r>
        <w:rPr>
          <w:spacing w:val="-14"/>
        </w:rPr>
        <w:t xml:space="preserve"> </w:t>
      </w:r>
      <w:r>
        <w:t>the</w:t>
      </w:r>
      <w:r>
        <w:rPr>
          <w:spacing w:val="-14"/>
        </w:rPr>
        <w:t xml:space="preserve"> </w:t>
      </w:r>
      <w:r>
        <w:t>meaning of</w:t>
      </w:r>
      <w:r>
        <w:rPr>
          <w:spacing w:val="-10"/>
        </w:rPr>
        <w:t xml:space="preserve"> </w:t>
      </w:r>
      <w:r>
        <w:t>the</w:t>
      </w:r>
      <w:r>
        <w:rPr>
          <w:spacing w:val="-8"/>
        </w:rPr>
        <w:t xml:space="preserve"> </w:t>
      </w:r>
      <w:r>
        <w:t>DPA (collectively</w:t>
      </w:r>
      <w:r>
        <w:rPr>
          <w:spacing w:val="-8"/>
        </w:rPr>
        <w:t xml:space="preserve"> </w:t>
      </w:r>
      <w:r>
        <w:t>“Investor</w:t>
      </w:r>
      <w:r>
        <w:rPr>
          <w:spacing w:val="-10"/>
        </w:rPr>
        <w:t xml:space="preserve"> </w:t>
      </w:r>
      <w:r>
        <w:t>Data”).</w:t>
      </w:r>
      <w:r>
        <w:rPr>
          <w:spacing w:val="-9"/>
        </w:rPr>
        <w:t xml:space="preserve"> </w:t>
      </w:r>
      <w:r>
        <w:t>The</w:t>
      </w:r>
      <w:r>
        <w:rPr>
          <w:spacing w:val="-8"/>
        </w:rPr>
        <w:t xml:space="preserve"> </w:t>
      </w:r>
      <w:r>
        <w:t>RIA</w:t>
      </w:r>
      <w:r>
        <w:rPr>
          <w:spacing w:val="-8"/>
        </w:rPr>
        <w:t xml:space="preserve"> </w:t>
      </w:r>
      <w:r>
        <w:t>may</w:t>
      </w:r>
      <w:r>
        <w:rPr>
          <w:spacing w:val="-9"/>
        </w:rPr>
        <w:t xml:space="preserve"> </w:t>
      </w:r>
      <w:r>
        <w:t>also</w:t>
      </w:r>
      <w:r>
        <w:rPr>
          <w:spacing w:val="-8"/>
        </w:rPr>
        <w:t xml:space="preserve"> </w:t>
      </w:r>
      <w:r>
        <w:t>obtain</w:t>
      </w:r>
      <w:r>
        <w:rPr>
          <w:spacing w:val="-8"/>
        </w:rPr>
        <w:t xml:space="preserve"> </w:t>
      </w:r>
      <w:r>
        <w:t>Investor</w:t>
      </w:r>
      <w:r>
        <w:rPr>
          <w:spacing w:val="-9"/>
        </w:rPr>
        <w:t xml:space="preserve"> </w:t>
      </w:r>
      <w:r>
        <w:t>Data</w:t>
      </w:r>
      <w:r>
        <w:rPr>
          <w:spacing w:val="-7"/>
        </w:rPr>
        <w:t xml:space="preserve"> </w:t>
      </w:r>
      <w:r>
        <w:t>from</w:t>
      </w:r>
      <w:r>
        <w:rPr>
          <w:spacing w:val="-9"/>
        </w:rPr>
        <w:t xml:space="preserve"> </w:t>
      </w:r>
      <w:r>
        <w:t>other</w:t>
      </w:r>
      <w:r>
        <w:rPr>
          <w:spacing w:val="-6"/>
        </w:rPr>
        <w:t xml:space="preserve"> </w:t>
      </w:r>
      <w:r>
        <w:t>public</w:t>
      </w:r>
      <w:r>
        <w:rPr>
          <w:spacing w:val="-9"/>
        </w:rPr>
        <w:t xml:space="preserve"> </w:t>
      </w:r>
      <w:r>
        <w:t>sources. Investor</w:t>
      </w:r>
      <w:r>
        <w:rPr>
          <w:spacing w:val="-15"/>
        </w:rPr>
        <w:t xml:space="preserve"> </w:t>
      </w:r>
      <w:r>
        <w:t>Data</w:t>
      </w:r>
      <w:r>
        <w:rPr>
          <w:spacing w:val="-12"/>
        </w:rPr>
        <w:t xml:space="preserve"> </w:t>
      </w:r>
      <w:r>
        <w:t>includes,</w:t>
      </w:r>
      <w:r>
        <w:rPr>
          <w:spacing w:val="-14"/>
        </w:rPr>
        <w:t xml:space="preserve"> </w:t>
      </w:r>
      <w:r>
        <w:t>without</w:t>
      </w:r>
      <w:r>
        <w:rPr>
          <w:spacing w:val="-13"/>
        </w:rPr>
        <w:t xml:space="preserve"> </w:t>
      </w:r>
      <w:r>
        <w:t>limitation,</w:t>
      </w:r>
      <w:r>
        <w:rPr>
          <w:spacing w:val="-13"/>
        </w:rPr>
        <w:t xml:space="preserve"> </w:t>
      </w:r>
      <w:r>
        <w:t>the</w:t>
      </w:r>
      <w:r>
        <w:rPr>
          <w:spacing w:val="-14"/>
        </w:rPr>
        <w:t xml:space="preserve"> </w:t>
      </w:r>
      <w:r>
        <w:t>following</w:t>
      </w:r>
      <w:r>
        <w:rPr>
          <w:spacing w:val="-13"/>
        </w:rPr>
        <w:t xml:space="preserve"> </w:t>
      </w:r>
      <w:r>
        <w:t>information</w:t>
      </w:r>
      <w:r>
        <w:rPr>
          <w:spacing w:val="-15"/>
        </w:rPr>
        <w:t xml:space="preserve"> </w:t>
      </w:r>
      <w:r>
        <w:t>relating</w:t>
      </w:r>
      <w:r>
        <w:rPr>
          <w:spacing w:val="-12"/>
        </w:rPr>
        <w:t xml:space="preserve"> </w:t>
      </w:r>
      <w:r>
        <w:t>to</w:t>
      </w:r>
      <w:r>
        <w:rPr>
          <w:spacing w:val="-13"/>
        </w:rPr>
        <w:t xml:space="preserve"> </w:t>
      </w:r>
      <w:r>
        <w:t>you</w:t>
      </w:r>
      <w:r>
        <w:rPr>
          <w:spacing w:val="-15"/>
        </w:rPr>
        <w:t xml:space="preserve"> </w:t>
      </w:r>
      <w:r>
        <w:t>and/or</w:t>
      </w:r>
      <w:r>
        <w:rPr>
          <w:spacing w:val="-12"/>
        </w:rPr>
        <w:t xml:space="preserve"> </w:t>
      </w:r>
      <w:r>
        <w:t>any</w:t>
      </w:r>
      <w:r>
        <w:rPr>
          <w:spacing w:val="-15"/>
        </w:rPr>
        <w:t xml:space="preserve"> </w:t>
      </w:r>
      <w:r>
        <w:t>individuals connected with you as an investor: name; residential address; email address; contact details (including private and/or business phone numbers, postal and email addresses); corporate contact information; signature; nationality; place of birth; date of birth; gender; marital status; name of spouse; number of children</w:t>
      </w:r>
      <w:r>
        <w:rPr>
          <w:spacing w:val="-12"/>
        </w:rPr>
        <w:t xml:space="preserve"> </w:t>
      </w:r>
      <w:r>
        <w:t>(if</w:t>
      </w:r>
      <w:r>
        <w:rPr>
          <w:spacing w:val="-12"/>
        </w:rPr>
        <w:t xml:space="preserve"> </w:t>
      </w:r>
      <w:r>
        <w:t>applicable);</w:t>
      </w:r>
      <w:r>
        <w:rPr>
          <w:spacing w:val="-12"/>
        </w:rPr>
        <w:t xml:space="preserve"> </w:t>
      </w:r>
      <w:r>
        <w:t>tax</w:t>
      </w:r>
      <w:r>
        <w:rPr>
          <w:spacing w:val="-12"/>
        </w:rPr>
        <w:t xml:space="preserve"> </w:t>
      </w:r>
      <w:r>
        <w:t>identification</w:t>
      </w:r>
      <w:r>
        <w:rPr>
          <w:spacing w:val="-10"/>
        </w:rPr>
        <w:t xml:space="preserve"> </w:t>
      </w:r>
      <w:r>
        <w:t>or</w:t>
      </w:r>
      <w:r>
        <w:rPr>
          <w:spacing w:val="-13"/>
        </w:rPr>
        <w:t xml:space="preserve"> </w:t>
      </w:r>
      <w:r>
        <w:t>status;</w:t>
      </w:r>
      <w:r>
        <w:rPr>
          <w:spacing w:val="-12"/>
        </w:rPr>
        <w:t xml:space="preserve"> </w:t>
      </w:r>
      <w:r>
        <w:t>credit</w:t>
      </w:r>
      <w:r>
        <w:rPr>
          <w:spacing w:val="-12"/>
        </w:rPr>
        <w:t xml:space="preserve"> </w:t>
      </w:r>
      <w:r>
        <w:t>history;</w:t>
      </w:r>
      <w:r>
        <w:rPr>
          <w:spacing w:val="-12"/>
        </w:rPr>
        <w:t xml:space="preserve"> </w:t>
      </w:r>
      <w:r>
        <w:t>correspondence</w:t>
      </w:r>
      <w:r>
        <w:rPr>
          <w:spacing w:val="-12"/>
        </w:rPr>
        <w:t xml:space="preserve"> </w:t>
      </w:r>
      <w:r>
        <w:t>records;</w:t>
      </w:r>
      <w:r>
        <w:rPr>
          <w:spacing w:val="-13"/>
        </w:rPr>
        <w:t xml:space="preserve"> </w:t>
      </w:r>
      <w:r>
        <w:t>authentication data</w:t>
      </w:r>
      <w:r>
        <w:rPr>
          <w:spacing w:val="-10"/>
        </w:rPr>
        <w:t xml:space="preserve"> </w:t>
      </w:r>
      <w:r>
        <w:t>such</w:t>
      </w:r>
      <w:r>
        <w:rPr>
          <w:spacing w:val="-9"/>
        </w:rPr>
        <w:t xml:space="preserve"> </w:t>
      </w:r>
      <w:r>
        <w:t>as</w:t>
      </w:r>
      <w:r>
        <w:rPr>
          <w:spacing w:val="-10"/>
        </w:rPr>
        <w:t xml:space="preserve"> </w:t>
      </w:r>
      <w:r>
        <w:t>sample</w:t>
      </w:r>
      <w:r>
        <w:rPr>
          <w:spacing w:val="-9"/>
        </w:rPr>
        <w:t xml:space="preserve"> </w:t>
      </w:r>
      <w:r>
        <w:t>signatures;</w:t>
      </w:r>
      <w:r>
        <w:rPr>
          <w:spacing w:val="-10"/>
        </w:rPr>
        <w:t xml:space="preserve"> </w:t>
      </w:r>
      <w:r>
        <w:t>identification</w:t>
      </w:r>
      <w:r>
        <w:rPr>
          <w:spacing w:val="-10"/>
        </w:rPr>
        <w:t xml:space="preserve"> </w:t>
      </w:r>
      <w:r>
        <w:t>such</w:t>
      </w:r>
      <w:r>
        <w:rPr>
          <w:spacing w:val="-9"/>
        </w:rPr>
        <w:t xml:space="preserve"> </w:t>
      </w:r>
      <w:r>
        <w:t>as</w:t>
      </w:r>
      <w:r>
        <w:rPr>
          <w:spacing w:val="-8"/>
        </w:rPr>
        <w:t xml:space="preserve"> </w:t>
      </w:r>
      <w:r>
        <w:t>passport,</w:t>
      </w:r>
      <w:r>
        <w:rPr>
          <w:spacing w:val="-10"/>
        </w:rPr>
        <w:t xml:space="preserve"> </w:t>
      </w:r>
      <w:r>
        <w:t>driver’s</w:t>
      </w:r>
      <w:r>
        <w:rPr>
          <w:spacing w:val="-9"/>
        </w:rPr>
        <w:t xml:space="preserve"> </w:t>
      </w:r>
      <w:r>
        <w:t>license,</w:t>
      </w:r>
      <w:r>
        <w:rPr>
          <w:spacing w:val="-8"/>
        </w:rPr>
        <w:t xml:space="preserve"> </w:t>
      </w:r>
      <w:r>
        <w:t>social</w:t>
      </w:r>
      <w:r>
        <w:rPr>
          <w:spacing w:val="-10"/>
        </w:rPr>
        <w:t xml:space="preserve"> </w:t>
      </w:r>
      <w:r>
        <w:t>security</w:t>
      </w:r>
      <w:r>
        <w:rPr>
          <w:spacing w:val="-7"/>
        </w:rPr>
        <w:t xml:space="preserve"> </w:t>
      </w:r>
      <w:r>
        <w:t>number,</w:t>
      </w:r>
      <w:r>
        <w:rPr>
          <w:spacing w:val="-10"/>
        </w:rPr>
        <w:t xml:space="preserve"> </w:t>
      </w:r>
      <w:r>
        <w:t>ID card or other state or national identification documents which may contain a photograph; bank account details,</w:t>
      </w:r>
      <w:r>
        <w:rPr>
          <w:spacing w:val="-5"/>
        </w:rPr>
        <w:t xml:space="preserve"> </w:t>
      </w:r>
      <w:r>
        <w:t>source</w:t>
      </w:r>
      <w:r>
        <w:rPr>
          <w:spacing w:val="-4"/>
        </w:rPr>
        <w:t xml:space="preserve"> </w:t>
      </w:r>
      <w:r>
        <w:t>of</w:t>
      </w:r>
      <w:r>
        <w:rPr>
          <w:spacing w:val="-5"/>
        </w:rPr>
        <w:t xml:space="preserve"> </w:t>
      </w:r>
      <w:r>
        <w:t>funds</w:t>
      </w:r>
      <w:r>
        <w:rPr>
          <w:spacing w:val="-4"/>
        </w:rPr>
        <w:t xml:space="preserve"> </w:t>
      </w:r>
      <w:r>
        <w:t>details;</w:t>
      </w:r>
      <w:r>
        <w:rPr>
          <w:spacing w:val="-5"/>
        </w:rPr>
        <w:t xml:space="preserve"> </w:t>
      </w:r>
      <w:r>
        <w:t>details</w:t>
      </w:r>
      <w:r>
        <w:rPr>
          <w:spacing w:val="-4"/>
        </w:rPr>
        <w:t xml:space="preserve"> </w:t>
      </w:r>
      <w:r>
        <w:t>relating</w:t>
      </w:r>
      <w:r>
        <w:rPr>
          <w:spacing w:val="-4"/>
        </w:rPr>
        <w:t xml:space="preserve"> </w:t>
      </w:r>
      <w:r>
        <w:t>to</w:t>
      </w:r>
      <w:r>
        <w:rPr>
          <w:spacing w:val="-3"/>
        </w:rPr>
        <w:t xml:space="preserve"> </w:t>
      </w:r>
      <w:r>
        <w:t>your</w:t>
      </w:r>
      <w:r>
        <w:rPr>
          <w:spacing w:val="-5"/>
        </w:rPr>
        <w:t xml:space="preserve"> </w:t>
      </w:r>
      <w:r>
        <w:t>investment</w:t>
      </w:r>
      <w:r>
        <w:rPr>
          <w:spacing w:val="-4"/>
        </w:rPr>
        <w:t xml:space="preserve"> </w:t>
      </w:r>
      <w:r>
        <w:t>activity;</w:t>
      </w:r>
      <w:r>
        <w:rPr>
          <w:spacing w:val="-5"/>
        </w:rPr>
        <w:t xml:space="preserve"> </w:t>
      </w:r>
      <w:r>
        <w:t>data</w:t>
      </w:r>
      <w:r>
        <w:rPr>
          <w:spacing w:val="-4"/>
        </w:rPr>
        <w:t xml:space="preserve"> </w:t>
      </w:r>
      <w:r>
        <w:t>related</w:t>
      </w:r>
      <w:r>
        <w:rPr>
          <w:spacing w:val="-4"/>
        </w:rPr>
        <w:t xml:space="preserve"> </w:t>
      </w:r>
      <w:r>
        <w:t>to</w:t>
      </w:r>
      <w:r>
        <w:rPr>
          <w:spacing w:val="-3"/>
        </w:rPr>
        <w:t xml:space="preserve"> </w:t>
      </w:r>
      <w:r>
        <w:t>designation</w:t>
      </w:r>
      <w:r>
        <w:rPr>
          <w:spacing w:val="-4"/>
        </w:rPr>
        <w:t xml:space="preserve"> </w:t>
      </w:r>
      <w:r>
        <w:t>of your status as a politically exposed person (PEP) and related information, marketing and sales data (e.g., customer relationship documentation); dietary and access requirements (e.g., for event organization purposes); and other data similar to the broad categories mentioned</w:t>
      </w:r>
      <w:r>
        <w:rPr>
          <w:spacing w:val="-9"/>
        </w:rPr>
        <w:t xml:space="preserve"> </w:t>
      </w:r>
      <w:r>
        <w:t>above.</w:t>
      </w:r>
    </w:p>
    <w:p>
      <w:pPr>
        <w:sectPr>
          <w:footerReference w:type="default" r:id="rId5"/>
          <w:type w:val="nextPage"/>
          <w:pgSz w:w="12240" w:h="15840"/>
          <w:pgMar w:top="1400" w:right="20" w:bottom="720" w:left="40" w:header="708" w:footer="708"/>
          <w:cols w:space="708"/>
        </w:sectPr>
      </w:pPr>
    </w:p>
    <w:p>
      <w:pPr>
        <w:spacing w:before="39" w:after="0"/>
        <w:ind w:left="1400" w:right="1418"/>
        <w:jc w:val="both"/>
      </w:pPr>
      <w:r>
        <w:t>In the RIA’s use of Investor Data, the RIA will be characterized as a “data controller” for the purposes of the DPA. The Investment Vehicle’s and the General Partner’s/Directors’ affiliates and delegates may act as “data processors” for the purposes of the DPA.</w:t>
      </w:r>
    </w:p>
    <w:p>
      <w:pPr>
        <w:spacing w:before="0" w:after="0"/>
        <w:rPr>
          <w:rFonts w:ascii="Calibri" w:eastAsia="Calibri" w:hAnsi="Calibri" w:cs="Calibri"/>
          <w:sz w:val="22"/>
          <w:szCs w:val="22"/>
        </w:rPr>
      </w:pPr>
    </w:p>
    <w:p>
      <w:pPr>
        <w:pStyle w:val="Heading1"/>
        <w:keepNext w:val="0"/>
        <w:keepLines w:val="0"/>
        <w:spacing w:before="0"/>
        <w:ind w:left="1400"/>
        <w:jc w:val="both"/>
        <w:rPr>
          <w:b/>
          <w:bCs/>
        </w:rPr>
      </w:pPr>
      <w:r>
        <w:rPr>
          <w:rFonts w:ascii="Calibri" w:eastAsia="Calibri" w:hAnsi="Calibri" w:cs="Calibri"/>
          <w:i w:val="0"/>
          <w:color w:val="auto"/>
          <w:sz w:val="22"/>
          <w:szCs w:val="22"/>
        </w:rPr>
        <w:t>Who this Affects</w:t>
      </w:r>
    </w:p>
    <w:p>
      <w:pPr>
        <w:spacing w:before="0" w:after="0"/>
        <w:rPr>
          <w:rFonts w:ascii="Calibri" w:eastAsia="Calibri" w:hAnsi="Calibri" w:cs="Calibri"/>
          <w:b/>
          <w:bCs/>
          <w:sz w:val="22"/>
          <w:szCs w:val="22"/>
        </w:rPr>
      </w:pPr>
    </w:p>
    <w:p>
      <w:pPr>
        <w:spacing w:before="0" w:after="0"/>
        <w:ind w:left="1400" w:right="1417"/>
        <w:jc w:val="both"/>
      </w:pPr>
      <w:r>
        <w:t>If</w:t>
      </w:r>
      <w:r>
        <w:rPr>
          <w:spacing w:val="-9"/>
        </w:rPr>
        <w:t xml:space="preserve"> </w:t>
      </w:r>
      <w:r>
        <w:t>you</w:t>
      </w:r>
      <w:r>
        <w:rPr>
          <w:spacing w:val="-8"/>
        </w:rPr>
        <w:t xml:space="preserve"> </w:t>
      </w:r>
      <w:r>
        <w:t>are</w:t>
      </w:r>
      <w:r>
        <w:rPr>
          <w:spacing w:val="-8"/>
        </w:rPr>
        <w:t xml:space="preserve"> </w:t>
      </w:r>
      <w:r>
        <w:t>a</w:t>
      </w:r>
      <w:r>
        <w:rPr>
          <w:spacing w:val="-7"/>
        </w:rPr>
        <w:t xml:space="preserve"> </w:t>
      </w:r>
      <w:r>
        <w:t>natural</w:t>
      </w:r>
      <w:r>
        <w:rPr>
          <w:spacing w:val="-9"/>
        </w:rPr>
        <w:t xml:space="preserve"> </w:t>
      </w:r>
      <w:r>
        <w:t>person,</w:t>
      </w:r>
      <w:r>
        <w:rPr>
          <w:spacing w:val="-8"/>
        </w:rPr>
        <w:t xml:space="preserve"> </w:t>
      </w:r>
      <w:r>
        <w:t>this</w:t>
      </w:r>
      <w:r>
        <w:rPr>
          <w:spacing w:val="-7"/>
        </w:rPr>
        <w:t xml:space="preserve"> </w:t>
      </w:r>
      <w:r>
        <w:t>will</w:t>
      </w:r>
      <w:r>
        <w:rPr>
          <w:spacing w:val="-7"/>
        </w:rPr>
        <w:t xml:space="preserve"> </w:t>
      </w:r>
      <w:r>
        <w:t>affect</w:t>
      </w:r>
      <w:r>
        <w:rPr>
          <w:spacing w:val="-8"/>
        </w:rPr>
        <w:t xml:space="preserve"> </w:t>
      </w:r>
      <w:r>
        <w:t>you</w:t>
      </w:r>
      <w:r>
        <w:rPr>
          <w:spacing w:val="-8"/>
        </w:rPr>
        <w:t xml:space="preserve"> </w:t>
      </w:r>
      <w:r>
        <w:t>directly.</w:t>
      </w:r>
      <w:r>
        <w:rPr>
          <w:spacing w:val="-8"/>
        </w:rPr>
        <w:t xml:space="preserve"> </w:t>
      </w:r>
      <w:r>
        <w:t>If</w:t>
      </w:r>
      <w:r>
        <w:rPr>
          <w:spacing w:val="-8"/>
        </w:rPr>
        <w:t xml:space="preserve"> </w:t>
      </w:r>
      <w:r>
        <w:t>you</w:t>
      </w:r>
      <w:r>
        <w:rPr>
          <w:spacing w:val="-8"/>
        </w:rPr>
        <w:t xml:space="preserve"> </w:t>
      </w:r>
      <w:r>
        <w:t>are</w:t>
      </w:r>
      <w:r>
        <w:rPr>
          <w:spacing w:val="-7"/>
        </w:rPr>
        <w:t xml:space="preserve"> </w:t>
      </w:r>
      <w:r>
        <w:t>a</w:t>
      </w:r>
      <w:r>
        <w:rPr>
          <w:spacing w:val="-7"/>
        </w:rPr>
        <w:t xml:space="preserve"> </w:t>
      </w:r>
      <w:r>
        <w:t>corporate</w:t>
      </w:r>
      <w:r>
        <w:rPr>
          <w:spacing w:val="-8"/>
        </w:rPr>
        <w:t xml:space="preserve"> </w:t>
      </w:r>
      <w:r>
        <w:t>investor</w:t>
      </w:r>
      <w:r>
        <w:rPr>
          <w:spacing w:val="-9"/>
        </w:rPr>
        <w:t xml:space="preserve"> </w:t>
      </w:r>
      <w:r>
        <w:t>(including,</w:t>
      </w:r>
      <w:r>
        <w:rPr>
          <w:spacing w:val="-9"/>
        </w:rPr>
        <w:t xml:space="preserve"> </w:t>
      </w:r>
      <w:r>
        <w:t>for</w:t>
      </w:r>
      <w:r>
        <w:rPr>
          <w:spacing w:val="-7"/>
        </w:rPr>
        <w:t xml:space="preserve"> </w:t>
      </w:r>
      <w:r>
        <w:t>these purposes,</w:t>
      </w:r>
      <w:r>
        <w:rPr>
          <w:spacing w:val="-8"/>
        </w:rPr>
        <w:t xml:space="preserve"> </w:t>
      </w:r>
      <w:r>
        <w:t>legal</w:t>
      </w:r>
      <w:r>
        <w:rPr>
          <w:spacing w:val="-8"/>
        </w:rPr>
        <w:t xml:space="preserve"> </w:t>
      </w:r>
      <w:r>
        <w:t>arrangements</w:t>
      </w:r>
      <w:r>
        <w:rPr>
          <w:spacing w:val="-7"/>
        </w:rPr>
        <w:t xml:space="preserve"> </w:t>
      </w:r>
      <w:r>
        <w:t>such</w:t>
      </w:r>
      <w:r>
        <w:rPr>
          <w:spacing w:val="-8"/>
        </w:rPr>
        <w:t xml:space="preserve"> </w:t>
      </w:r>
      <w:r>
        <w:t>as</w:t>
      </w:r>
      <w:r>
        <w:rPr>
          <w:spacing w:val="-6"/>
        </w:rPr>
        <w:t xml:space="preserve"> </w:t>
      </w:r>
      <w:r>
        <w:t>trusts</w:t>
      </w:r>
      <w:r>
        <w:rPr>
          <w:spacing w:val="-7"/>
        </w:rPr>
        <w:t xml:space="preserve"> </w:t>
      </w:r>
      <w:r>
        <w:t>or</w:t>
      </w:r>
      <w:r>
        <w:rPr>
          <w:spacing w:val="-7"/>
        </w:rPr>
        <w:t xml:space="preserve"> </w:t>
      </w:r>
      <w:r>
        <w:t>exempted</w:t>
      </w:r>
      <w:r>
        <w:rPr>
          <w:spacing w:val="-6"/>
        </w:rPr>
        <w:t xml:space="preserve"> </w:t>
      </w:r>
      <w:r>
        <w:t>limited</w:t>
      </w:r>
      <w:r>
        <w:rPr>
          <w:spacing w:val="-5"/>
        </w:rPr>
        <w:t xml:space="preserve"> </w:t>
      </w:r>
      <w:r>
        <w:t>partnerships)</w:t>
      </w:r>
      <w:r>
        <w:rPr>
          <w:spacing w:val="-7"/>
        </w:rPr>
        <w:t xml:space="preserve"> </w:t>
      </w:r>
      <w:r>
        <w:t>that</w:t>
      </w:r>
      <w:r>
        <w:rPr>
          <w:spacing w:val="-8"/>
        </w:rPr>
        <w:t xml:space="preserve"> </w:t>
      </w:r>
      <w:r>
        <w:t>provides</w:t>
      </w:r>
      <w:r>
        <w:rPr>
          <w:spacing w:val="-7"/>
        </w:rPr>
        <w:t xml:space="preserve"> </w:t>
      </w:r>
      <w:r>
        <w:t>the</w:t>
      </w:r>
      <w:r>
        <w:rPr>
          <w:spacing w:val="-8"/>
        </w:rPr>
        <w:t xml:space="preserve"> </w:t>
      </w:r>
      <w:r>
        <w:t>RIA</w:t>
      </w:r>
      <w:r>
        <w:rPr>
          <w:spacing w:val="-6"/>
        </w:rPr>
        <w:t xml:space="preserve"> </w:t>
      </w:r>
      <w:r>
        <w:t>with Investor Data on individuals connected to you for any reason in relation to your investment with the RIA, this will be relevant for those individuals and you should transmit this document to such individuals or otherwise advise them of its</w:t>
      </w:r>
      <w:r>
        <w:rPr>
          <w:spacing w:val="-6"/>
        </w:rPr>
        <w:t xml:space="preserve"> </w:t>
      </w:r>
      <w:r>
        <w:t>content.</w:t>
      </w:r>
    </w:p>
    <w:p>
      <w:pPr>
        <w:spacing w:before="0" w:after="0"/>
        <w:rPr>
          <w:rFonts w:ascii="Calibri" w:eastAsia="Calibri" w:hAnsi="Calibri" w:cs="Calibri"/>
          <w:sz w:val="22"/>
          <w:szCs w:val="22"/>
        </w:rPr>
      </w:pPr>
    </w:p>
    <w:p>
      <w:pPr>
        <w:pStyle w:val="Heading1"/>
        <w:keepNext w:val="0"/>
        <w:keepLines w:val="0"/>
        <w:spacing w:before="1"/>
        <w:ind w:left="1400"/>
        <w:jc w:val="both"/>
        <w:rPr>
          <w:b/>
          <w:bCs/>
        </w:rPr>
      </w:pPr>
      <w:r>
        <w:rPr>
          <w:rFonts w:ascii="Calibri" w:eastAsia="Calibri" w:hAnsi="Calibri" w:cs="Calibri"/>
          <w:i w:val="0"/>
          <w:color w:val="auto"/>
          <w:sz w:val="22"/>
          <w:szCs w:val="22"/>
        </w:rPr>
        <w:t>How We May Use Your Personal Data</w:t>
      </w:r>
    </w:p>
    <w:p>
      <w:pPr>
        <w:spacing w:before="11" w:after="0"/>
        <w:rPr>
          <w:rFonts w:ascii="Calibri" w:eastAsia="Calibri" w:hAnsi="Calibri" w:cs="Calibri"/>
          <w:b/>
          <w:bCs/>
          <w:sz w:val="21"/>
          <w:szCs w:val="21"/>
        </w:rPr>
      </w:pPr>
    </w:p>
    <w:p>
      <w:pPr>
        <w:spacing w:before="0" w:after="0"/>
        <w:ind w:left="1400" w:right="1420"/>
        <w:jc w:val="both"/>
      </w:pPr>
      <w:r>
        <w:t>The RIA, as the data controller, may collect, store and use Investor Data for lawful purposes, including, in particular:</w:t>
      </w:r>
    </w:p>
    <w:p>
      <w:pPr>
        <w:spacing w:before="1" w:after="0"/>
        <w:rPr>
          <w:rFonts w:ascii="Calibri" w:eastAsia="Calibri" w:hAnsi="Calibri" w:cs="Calibri"/>
          <w:sz w:val="22"/>
          <w:szCs w:val="22"/>
        </w:rPr>
      </w:pPr>
    </w:p>
    <w:p>
      <w:pPr>
        <w:numPr>
          <w:ilvl w:val="0"/>
          <w:numId w:val="1"/>
        </w:numPr>
        <w:tabs>
          <w:tab w:val="left" w:pos="2384"/>
        </w:tabs>
        <w:spacing w:before="0" w:after="0"/>
        <w:ind w:left="2120" w:right="1417" w:firstLine="0"/>
        <w:jc w:val="both"/>
        <w:rPr>
          <w:spacing w:val="-1"/>
        </w:rPr>
      </w:pPr>
      <w:r>
        <w:rPr>
          <w:spacing w:val="0"/>
        </w:rPr>
        <w:t>Where this is necessary for the performance of the RIA’s rights and obligations under the subscription agreement, purchase agreement, or other agreement and/or the constitutional and operational documents of an Investment Vehicle or the General Partner</w:t>
      </w:r>
      <w:r>
        <w:rPr>
          <w:spacing w:val="-17"/>
        </w:rPr>
        <w:t xml:space="preserve"> </w:t>
      </w:r>
      <w:r>
        <w:rPr>
          <w:spacing w:val="0"/>
        </w:rPr>
        <w:t>/Directors;</w:t>
      </w:r>
    </w:p>
    <w:p>
      <w:pPr>
        <w:spacing w:before="0" w:after="0"/>
        <w:rPr>
          <w:rFonts w:ascii="Calibri" w:eastAsia="Calibri" w:hAnsi="Calibri" w:cs="Calibri"/>
          <w:sz w:val="22"/>
          <w:szCs w:val="22"/>
        </w:rPr>
      </w:pPr>
    </w:p>
    <w:p>
      <w:pPr>
        <w:numPr>
          <w:ilvl w:val="0"/>
          <w:numId w:val="2"/>
        </w:numPr>
        <w:tabs>
          <w:tab w:val="left" w:pos="2431"/>
        </w:tabs>
        <w:spacing w:before="0" w:after="0"/>
        <w:ind w:left="2120" w:right="1417" w:firstLine="0"/>
        <w:jc w:val="both"/>
        <w:rPr>
          <w:spacing w:val="-1"/>
        </w:rPr>
      </w:pPr>
      <w:r>
        <w:rPr>
          <w:spacing w:val="0"/>
        </w:rPr>
        <w:t>Where this is necessary for compliance with a legal and regulatory obligation to which an Investment</w:t>
      </w:r>
      <w:r>
        <w:rPr>
          <w:spacing w:val="-15"/>
        </w:rPr>
        <w:t xml:space="preserve"> </w:t>
      </w:r>
      <w:r>
        <w:rPr>
          <w:spacing w:val="0"/>
        </w:rPr>
        <w:t>Vehicle,</w:t>
      </w:r>
      <w:r>
        <w:rPr>
          <w:spacing w:val="-13"/>
        </w:rPr>
        <w:t xml:space="preserve"> </w:t>
      </w:r>
      <w:r>
        <w:rPr>
          <w:spacing w:val="0"/>
        </w:rPr>
        <w:t>the</w:t>
      </w:r>
      <w:r>
        <w:rPr>
          <w:spacing w:val="-14"/>
        </w:rPr>
        <w:t xml:space="preserve"> </w:t>
      </w:r>
      <w:r>
        <w:rPr>
          <w:spacing w:val="0"/>
        </w:rPr>
        <w:t>General</w:t>
      </w:r>
      <w:r>
        <w:rPr>
          <w:spacing w:val="-15"/>
        </w:rPr>
        <w:t xml:space="preserve"> </w:t>
      </w:r>
      <w:r>
        <w:rPr>
          <w:spacing w:val="0"/>
        </w:rPr>
        <w:t>Partner/Directors</w:t>
      </w:r>
      <w:r>
        <w:rPr>
          <w:spacing w:val="-14"/>
        </w:rPr>
        <w:t xml:space="preserve"> </w:t>
      </w:r>
      <w:r>
        <w:rPr>
          <w:spacing w:val="0"/>
        </w:rPr>
        <w:t>or</w:t>
      </w:r>
      <w:r>
        <w:rPr>
          <w:spacing w:val="-14"/>
        </w:rPr>
        <w:t xml:space="preserve"> </w:t>
      </w:r>
      <w:r>
        <w:rPr>
          <w:spacing w:val="0"/>
        </w:rPr>
        <w:t>the</w:t>
      </w:r>
      <w:r>
        <w:rPr>
          <w:spacing w:val="-14"/>
        </w:rPr>
        <w:t xml:space="preserve"> </w:t>
      </w:r>
      <w:r>
        <w:rPr>
          <w:spacing w:val="0"/>
        </w:rPr>
        <w:t>RIA</w:t>
      </w:r>
      <w:r>
        <w:rPr>
          <w:spacing w:val="-15"/>
        </w:rPr>
        <w:t xml:space="preserve"> </w:t>
      </w:r>
      <w:r>
        <w:rPr>
          <w:spacing w:val="0"/>
        </w:rPr>
        <w:t>and</w:t>
      </w:r>
      <w:r>
        <w:rPr>
          <w:spacing w:val="-15"/>
        </w:rPr>
        <w:t xml:space="preserve"> </w:t>
      </w:r>
      <w:r>
        <w:rPr>
          <w:spacing w:val="0"/>
        </w:rPr>
        <w:t>its</w:t>
      </w:r>
      <w:r>
        <w:rPr>
          <w:spacing w:val="-13"/>
        </w:rPr>
        <w:t xml:space="preserve"> </w:t>
      </w:r>
      <w:r>
        <w:rPr>
          <w:spacing w:val="0"/>
        </w:rPr>
        <w:t>affiliates</w:t>
      </w:r>
      <w:r>
        <w:rPr>
          <w:spacing w:val="-14"/>
        </w:rPr>
        <w:t xml:space="preserve"> </w:t>
      </w:r>
      <w:r>
        <w:rPr>
          <w:spacing w:val="0"/>
        </w:rPr>
        <w:t>maybe</w:t>
      </w:r>
      <w:r>
        <w:rPr>
          <w:spacing w:val="-15"/>
        </w:rPr>
        <w:t xml:space="preserve"> </w:t>
      </w:r>
      <w:r>
        <w:rPr>
          <w:spacing w:val="0"/>
        </w:rPr>
        <w:t>subject</w:t>
      </w:r>
      <w:r>
        <w:rPr>
          <w:spacing w:val="-14"/>
        </w:rPr>
        <w:t xml:space="preserve"> </w:t>
      </w:r>
      <w:r>
        <w:rPr>
          <w:spacing w:val="0"/>
        </w:rPr>
        <w:t>(such as compliance with anti-money laundering and FATCA/CRS requirements);</w:t>
      </w:r>
      <w:r>
        <w:rPr>
          <w:spacing w:val="-15"/>
        </w:rPr>
        <w:t xml:space="preserve"> </w:t>
      </w:r>
      <w:r>
        <w:rPr>
          <w:spacing w:val="0"/>
        </w:rPr>
        <w:t>and/or</w:t>
      </w:r>
    </w:p>
    <w:p>
      <w:pPr>
        <w:spacing w:before="12" w:after="0"/>
        <w:rPr>
          <w:rFonts w:ascii="Calibri" w:eastAsia="Calibri" w:hAnsi="Calibri" w:cs="Calibri"/>
          <w:sz w:val="21"/>
          <w:szCs w:val="21"/>
        </w:rPr>
      </w:pPr>
    </w:p>
    <w:p>
      <w:pPr>
        <w:numPr>
          <w:ilvl w:val="0"/>
          <w:numId w:val="3"/>
        </w:numPr>
        <w:tabs>
          <w:tab w:val="left" w:pos="2464"/>
        </w:tabs>
        <w:spacing w:before="0" w:after="0"/>
        <w:ind w:left="2120" w:right="1418" w:firstLine="0"/>
        <w:jc w:val="both"/>
        <w:rPr>
          <w:spacing w:val="-1"/>
        </w:rPr>
      </w:pPr>
      <w:r>
        <w:rPr>
          <w:spacing w:val="0"/>
        </w:rPr>
        <w:t>Where this is necessary for the purposes of the RIA’s legitimate interests and such interests are not overridden by your interests, fundamental rights or</w:t>
      </w:r>
      <w:r>
        <w:rPr>
          <w:spacing w:val="-11"/>
        </w:rPr>
        <w:t xml:space="preserve"> </w:t>
      </w:r>
      <w:r>
        <w:rPr>
          <w:spacing w:val="0"/>
        </w:rPr>
        <w:t>freedoms.</w:t>
      </w:r>
    </w:p>
    <w:p>
      <w:pPr>
        <w:spacing w:before="11" w:after="0"/>
        <w:rPr>
          <w:rFonts w:ascii="Calibri" w:eastAsia="Calibri" w:hAnsi="Calibri" w:cs="Calibri"/>
          <w:sz w:val="21"/>
          <w:szCs w:val="21"/>
        </w:rPr>
      </w:pPr>
    </w:p>
    <w:p>
      <w:pPr>
        <w:spacing w:before="1" w:after="0"/>
        <w:ind w:left="1400" w:right="1418"/>
        <w:jc w:val="both"/>
      </w:pPr>
      <w:r>
        <w:t>The RIA service providers, including an administrator, custodian or trustee may use Investor Data, for example to provide its services to the Investment Vehicle and the General Partner/Directors or to discharge</w:t>
      </w:r>
      <w:r>
        <w:rPr>
          <w:spacing w:val="-14"/>
        </w:rPr>
        <w:t xml:space="preserve"> </w:t>
      </w:r>
      <w:r>
        <w:t>the</w:t>
      </w:r>
      <w:r>
        <w:rPr>
          <w:spacing w:val="-14"/>
        </w:rPr>
        <w:t xml:space="preserve"> </w:t>
      </w:r>
      <w:r>
        <w:t>legal</w:t>
      </w:r>
      <w:r>
        <w:rPr>
          <w:spacing w:val="-15"/>
        </w:rPr>
        <w:t xml:space="preserve"> </w:t>
      </w:r>
      <w:r>
        <w:t>or</w:t>
      </w:r>
      <w:r>
        <w:rPr>
          <w:spacing w:val="-15"/>
        </w:rPr>
        <w:t xml:space="preserve"> </w:t>
      </w:r>
      <w:r>
        <w:t>regulatory</w:t>
      </w:r>
      <w:r>
        <w:rPr>
          <w:spacing w:val="-15"/>
        </w:rPr>
        <w:t xml:space="preserve"> </w:t>
      </w:r>
      <w:r>
        <w:t>requirements</w:t>
      </w:r>
      <w:r>
        <w:rPr>
          <w:spacing w:val="-13"/>
        </w:rPr>
        <w:t xml:space="preserve"> </w:t>
      </w:r>
      <w:r>
        <w:t>that</w:t>
      </w:r>
      <w:r>
        <w:rPr>
          <w:spacing w:val="-14"/>
        </w:rPr>
        <w:t xml:space="preserve"> </w:t>
      </w:r>
      <w:r>
        <w:t>apply</w:t>
      </w:r>
      <w:r>
        <w:rPr>
          <w:spacing w:val="-15"/>
        </w:rPr>
        <w:t xml:space="preserve"> </w:t>
      </w:r>
      <w:r>
        <w:t>directly</w:t>
      </w:r>
      <w:r>
        <w:rPr>
          <w:spacing w:val="-14"/>
        </w:rPr>
        <w:t xml:space="preserve"> </w:t>
      </w:r>
      <w:r>
        <w:t>to</w:t>
      </w:r>
      <w:r>
        <w:rPr>
          <w:spacing w:val="-13"/>
        </w:rPr>
        <w:t xml:space="preserve"> </w:t>
      </w:r>
      <w:r>
        <w:t>it</w:t>
      </w:r>
      <w:r>
        <w:rPr>
          <w:spacing w:val="-15"/>
        </w:rPr>
        <w:t xml:space="preserve"> </w:t>
      </w:r>
      <w:r>
        <w:t>or</w:t>
      </w:r>
      <w:r>
        <w:rPr>
          <w:spacing w:val="-15"/>
        </w:rPr>
        <w:t xml:space="preserve"> </w:t>
      </w:r>
      <w:r>
        <w:t>in</w:t>
      </w:r>
      <w:r>
        <w:rPr>
          <w:spacing w:val="-15"/>
        </w:rPr>
        <w:t xml:space="preserve"> </w:t>
      </w:r>
      <w:r>
        <w:t>respect</w:t>
      </w:r>
      <w:r>
        <w:rPr>
          <w:spacing w:val="-15"/>
        </w:rPr>
        <w:t xml:space="preserve"> </w:t>
      </w:r>
      <w:r>
        <w:t>of</w:t>
      </w:r>
      <w:r>
        <w:rPr>
          <w:spacing w:val="-15"/>
        </w:rPr>
        <w:t xml:space="preserve"> </w:t>
      </w:r>
      <w:r>
        <w:t>which</w:t>
      </w:r>
      <w:r>
        <w:rPr>
          <w:spacing w:val="-14"/>
        </w:rPr>
        <w:t xml:space="preserve"> </w:t>
      </w:r>
      <w:r>
        <w:t>an</w:t>
      </w:r>
      <w:r>
        <w:rPr>
          <w:spacing w:val="-15"/>
        </w:rPr>
        <w:t xml:space="preserve"> </w:t>
      </w:r>
      <w:r>
        <w:t>Investment Vehicle and the General Partner/Directors of an Investment Vehicle may rely upon the administrator, custodian</w:t>
      </w:r>
      <w:r>
        <w:rPr>
          <w:spacing w:val="-15"/>
        </w:rPr>
        <w:t xml:space="preserve"> </w:t>
      </w:r>
      <w:r>
        <w:t>or</w:t>
      </w:r>
      <w:r>
        <w:rPr>
          <w:spacing w:val="-13"/>
        </w:rPr>
        <w:t xml:space="preserve"> </w:t>
      </w:r>
      <w:r>
        <w:t>trustee</w:t>
      </w:r>
      <w:r>
        <w:rPr>
          <w:spacing w:val="-14"/>
        </w:rPr>
        <w:t xml:space="preserve"> </w:t>
      </w:r>
      <w:r>
        <w:t>but</w:t>
      </w:r>
      <w:r>
        <w:rPr>
          <w:spacing w:val="-15"/>
        </w:rPr>
        <w:t xml:space="preserve"> </w:t>
      </w:r>
      <w:r>
        <w:t>such</w:t>
      </w:r>
      <w:r>
        <w:rPr>
          <w:spacing w:val="-15"/>
        </w:rPr>
        <w:t xml:space="preserve"> </w:t>
      </w:r>
      <w:r>
        <w:t>use</w:t>
      </w:r>
      <w:r>
        <w:rPr>
          <w:spacing w:val="-13"/>
        </w:rPr>
        <w:t xml:space="preserve"> </w:t>
      </w:r>
      <w:r>
        <w:t>of</w:t>
      </w:r>
      <w:r>
        <w:rPr>
          <w:spacing w:val="-15"/>
        </w:rPr>
        <w:t xml:space="preserve"> </w:t>
      </w:r>
      <w:r>
        <w:t>Investor</w:t>
      </w:r>
      <w:r>
        <w:rPr>
          <w:spacing w:val="-14"/>
        </w:rPr>
        <w:t xml:space="preserve"> </w:t>
      </w:r>
      <w:r>
        <w:t>Data</w:t>
      </w:r>
      <w:r>
        <w:rPr>
          <w:spacing w:val="-14"/>
        </w:rPr>
        <w:t xml:space="preserve"> </w:t>
      </w:r>
      <w:r>
        <w:t>by</w:t>
      </w:r>
      <w:r>
        <w:rPr>
          <w:spacing w:val="-15"/>
        </w:rPr>
        <w:t xml:space="preserve"> </w:t>
      </w:r>
      <w:r>
        <w:t>the</w:t>
      </w:r>
      <w:r>
        <w:rPr>
          <w:spacing w:val="-14"/>
        </w:rPr>
        <w:t xml:space="preserve"> </w:t>
      </w:r>
      <w:r>
        <w:t>administrator,</w:t>
      </w:r>
      <w:r>
        <w:rPr>
          <w:spacing w:val="-14"/>
        </w:rPr>
        <w:t xml:space="preserve"> </w:t>
      </w:r>
      <w:r>
        <w:t>custodian,</w:t>
      </w:r>
      <w:r>
        <w:rPr>
          <w:spacing w:val="-14"/>
        </w:rPr>
        <w:t xml:space="preserve"> </w:t>
      </w:r>
      <w:r>
        <w:t>trustee</w:t>
      </w:r>
      <w:r>
        <w:rPr>
          <w:spacing w:val="-14"/>
        </w:rPr>
        <w:t xml:space="preserve"> </w:t>
      </w:r>
      <w:r>
        <w:t>or</w:t>
      </w:r>
      <w:r>
        <w:rPr>
          <w:spacing w:val="-13"/>
        </w:rPr>
        <w:t xml:space="preserve"> </w:t>
      </w:r>
      <w:r>
        <w:t>other</w:t>
      </w:r>
      <w:r>
        <w:rPr>
          <w:spacing w:val="-15"/>
        </w:rPr>
        <w:t xml:space="preserve"> </w:t>
      </w:r>
      <w:r>
        <w:t>service provider will always be compatible with at least one of the aforementioned purposes for which the RIA process Investor</w:t>
      </w:r>
      <w:r>
        <w:rPr>
          <w:spacing w:val="-3"/>
        </w:rPr>
        <w:t xml:space="preserve"> </w:t>
      </w:r>
      <w:r>
        <w:t>Data.</w:t>
      </w:r>
    </w:p>
    <w:p>
      <w:pPr>
        <w:spacing w:before="0" w:after="0"/>
        <w:rPr>
          <w:rFonts w:ascii="Calibri" w:eastAsia="Calibri" w:hAnsi="Calibri" w:cs="Calibri"/>
          <w:sz w:val="22"/>
          <w:szCs w:val="22"/>
        </w:rPr>
      </w:pPr>
    </w:p>
    <w:p>
      <w:pPr>
        <w:spacing w:before="0" w:after="0"/>
        <w:ind w:left="1400" w:right="1417"/>
        <w:jc w:val="both"/>
      </w:pPr>
      <w:r>
        <w:t>Should</w:t>
      </w:r>
      <w:r>
        <w:rPr>
          <w:spacing w:val="-4"/>
        </w:rPr>
        <w:t xml:space="preserve"> </w:t>
      </w:r>
      <w:r>
        <w:t>the</w:t>
      </w:r>
      <w:r>
        <w:rPr>
          <w:spacing w:val="-4"/>
        </w:rPr>
        <w:t xml:space="preserve"> </w:t>
      </w:r>
      <w:r>
        <w:t>RIA</w:t>
      </w:r>
      <w:r>
        <w:rPr>
          <w:spacing w:val="-5"/>
        </w:rPr>
        <w:t xml:space="preserve"> </w:t>
      </w:r>
      <w:r>
        <w:t>wish</w:t>
      </w:r>
      <w:r>
        <w:rPr>
          <w:spacing w:val="-4"/>
        </w:rPr>
        <w:t xml:space="preserve"> </w:t>
      </w:r>
      <w:r>
        <w:t>to</w:t>
      </w:r>
      <w:r>
        <w:rPr>
          <w:spacing w:val="-5"/>
        </w:rPr>
        <w:t xml:space="preserve"> </w:t>
      </w:r>
      <w:r>
        <w:t>use</w:t>
      </w:r>
      <w:r>
        <w:rPr>
          <w:spacing w:val="-4"/>
        </w:rPr>
        <w:t xml:space="preserve"> </w:t>
      </w:r>
      <w:r>
        <w:t>Investor</w:t>
      </w:r>
      <w:r>
        <w:rPr>
          <w:spacing w:val="-4"/>
        </w:rPr>
        <w:t xml:space="preserve"> </w:t>
      </w:r>
      <w:r>
        <w:t>Data</w:t>
      </w:r>
      <w:r>
        <w:rPr>
          <w:spacing w:val="-5"/>
        </w:rPr>
        <w:t xml:space="preserve"> </w:t>
      </w:r>
      <w:r>
        <w:t>for</w:t>
      </w:r>
      <w:r>
        <w:rPr>
          <w:spacing w:val="-5"/>
        </w:rPr>
        <w:t xml:space="preserve"> </w:t>
      </w:r>
      <w:r>
        <w:t>other</w:t>
      </w:r>
      <w:r>
        <w:rPr>
          <w:spacing w:val="-4"/>
        </w:rPr>
        <w:t xml:space="preserve"> </w:t>
      </w:r>
      <w:r>
        <w:t>specific</w:t>
      </w:r>
      <w:r>
        <w:rPr>
          <w:spacing w:val="-4"/>
        </w:rPr>
        <w:t xml:space="preserve"> </w:t>
      </w:r>
      <w:r>
        <w:t>purposes</w:t>
      </w:r>
      <w:r>
        <w:rPr>
          <w:spacing w:val="-4"/>
        </w:rPr>
        <w:t xml:space="preserve"> </w:t>
      </w:r>
      <w:r>
        <w:t>(including,</w:t>
      </w:r>
      <w:r>
        <w:rPr>
          <w:spacing w:val="-3"/>
        </w:rPr>
        <w:t xml:space="preserve"> </w:t>
      </w:r>
      <w:r>
        <w:t>if</w:t>
      </w:r>
      <w:r>
        <w:rPr>
          <w:spacing w:val="-5"/>
        </w:rPr>
        <w:t xml:space="preserve"> </w:t>
      </w:r>
      <w:r>
        <w:t>applicable,</w:t>
      </w:r>
      <w:r>
        <w:rPr>
          <w:spacing w:val="-4"/>
        </w:rPr>
        <w:t xml:space="preserve"> </w:t>
      </w:r>
      <w:r>
        <w:t>any</w:t>
      </w:r>
      <w:r>
        <w:rPr>
          <w:spacing w:val="-4"/>
        </w:rPr>
        <w:t xml:space="preserve"> </w:t>
      </w:r>
      <w:r>
        <w:t>purpose that requires your consent), the RIA will contact</w:t>
      </w:r>
      <w:r>
        <w:rPr>
          <w:spacing w:val="-4"/>
        </w:rPr>
        <w:t xml:space="preserve"> </w:t>
      </w:r>
      <w:r>
        <w:t>you.</w:t>
      </w:r>
    </w:p>
    <w:p>
      <w:pPr>
        <w:spacing w:before="0" w:after="0"/>
        <w:rPr>
          <w:rFonts w:ascii="Calibri" w:eastAsia="Calibri" w:hAnsi="Calibri" w:cs="Calibri"/>
          <w:sz w:val="22"/>
          <w:szCs w:val="22"/>
        </w:rPr>
      </w:pPr>
    </w:p>
    <w:p>
      <w:pPr>
        <w:pStyle w:val="Heading1"/>
        <w:keepNext w:val="0"/>
        <w:keepLines w:val="0"/>
        <w:spacing w:before="0"/>
        <w:ind w:left="1400"/>
        <w:jc w:val="both"/>
        <w:rPr>
          <w:b/>
          <w:bCs/>
        </w:rPr>
      </w:pPr>
      <w:r>
        <w:rPr>
          <w:rFonts w:ascii="Calibri" w:eastAsia="Calibri" w:hAnsi="Calibri" w:cs="Calibri"/>
          <w:i w:val="0"/>
          <w:color w:val="auto"/>
          <w:sz w:val="22"/>
          <w:szCs w:val="22"/>
        </w:rPr>
        <w:t>RIA May Transfer Your Personal Data</w:t>
      </w:r>
    </w:p>
    <w:p>
      <w:pPr>
        <w:spacing w:before="0" w:after="0"/>
        <w:rPr>
          <w:rFonts w:ascii="Calibri" w:eastAsia="Calibri" w:hAnsi="Calibri" w:cs="Calibri"/>
          <w:b/>
          <w:bCs/>
          <w:sz w:val="22"/>
          <w:szCs w:val="22"/>
        </w:rPr>
      </w:pPr>
    </w:p>
    <w:p>
      <w:pPr>
        <w:spacing w:before="0" w:after="0"/>
        <w:ind w:left="1400" w:right="1417"/>
        <w:jc w:val="both"/>
      </w:pPr>
      <w:r>
        <w:t>In certain circumstances the RIA and/or our authorized affiliates or delegates may be legally obliged to share</w:t>
      </w:r>
      <w:r>
        <w:rPr>
          <w:spacing w:val="-9"/>
        </w:rPr>
        <w:t xml:space="preserve"> </w:t>
      </w:r>
      <w:r>
        <w:t>Investor</w:t>
      </w:r>
      <w:r>
        <w:rPr>
          <w:spacing w:val="-8"/>
        </w:rPr>
        <w:t xml:space="preserve"> </w:t>
      </w:r>
      <w:r>
        <w:t>Data</w:t>
      </w:r>
      <w:r>
        <w:rPr>
          <w:spacing w:val="-8"/>
        </w:rPr>
        <w:t xml:space="preserve"> </w:t>
      </w:r>
      <w:r>
        <w:t>and</w:t>
      </w:r>
      <w:r>
        <w:rPr>
          <w:spacing w:val="-7"/>
        </w:rPr>
        <w:t xml:space="preserve"> </w:t>
      </w:r>
      <w:r>
        <w:t>other</w:t>
      </w:r>
      <w:r>
        <w:rPr>
          <w:spacing w:val="-8"/>
        </w:rPr>
        <w:t xml:space="preserve"> </w:t>
      </w:r>
      <w:r>
        <w:t>information</w:t>
      </w:r>
      <w:r>
        <w:rPr>
          <w:spacing w:val="-9"/>
        </w:rPr>
        <w:t xml:space="preserve"> </w:t>
      </w:r>
      <w:r>
        <w:t>with</w:t>
      </w:r>
      <w:r>
        <w:rPr>
          <w:spacing w:val="-7"/>
        </w:rPr>
        <w:t xml:space="preserve"> </w:t>
      </w:r>
      <w:r>
        <w:t>respect</w:t>
      </w:r>
      <w:r>
        <w:rPr>
          <w:spacing w:val="-7"/>
        </w:rPr>
        <w:t xml:space="preserve"> </w:t>
      </w:r>
      <w:r>
        <w:t>to</w:t>
      </w:r>
      <w:r>
        <w:rPr>
          <w:spacing w:val="-8"/>
        </w:rPr>
        <w:t xml:space="preserve"> </w:t>
      </w:r>
      <w:r>
        <w:t>your</w:t>
      </w:r>
      <w:r>
        <w:rPr>
          <w:spacing w:val="-8"/>
        </w:rPr>
        <w:t xml:space="preserve"> </w:t>
      </w:r>
      <w:r>
        <w:t>interest</w:t>
      </w:r>
      <w:r>
        <w:rPr>
          <w:spacing w:val="-8"/>
        </w:rPr>
        <w:t xml:space="preserve"> </w:t>
      </w:r>
      <w:r>
        <w:t>in</w:t>
      </w:r>
      <w:r>
        <w:rPr>
          <w:spacing w:val="-8"/>
        </w:rPr>
        <w:t xml:space="preserve"> </w:t>
      </w:r>
      <w:r>
        <w:t>an</w:t>
      </w:r>
      <w:r>
        <w:rPr>
          <w:spacing w:val="-7"/>
        </w:rPr>
        <w:t xml:space="preserve"> </w:t>
      </w:r>
      <w:r>
        <w:t>Investment</w:t>
      </w:r>
      <w:r>
        <w:rPr>
          <w:spacing w:val="-9"/>
        </w:rPr>
        <w:t xml:space="preserve"> </w:t>
      </w:r>
      <w:r>
        <w:t>Vehicle</w:t>
      </w:r>
      <w:r>
        <w:rPr>
          <w:spacing w:val="-7"/>
        </w:rPr>
        <w:t xml:space="preserve"> </w:t>
      </w:r>
      <w:r>
        <w:t>with</w:t>
      </w:r>
      <w:r>
        <w:rPr>
          <w:spacing w:val="-8"/>
        </w:rPr>
        <w:t xml:space="preserve"> </w:t>
      </w:r>
      <w:r>
        <w:t>the relevant regulatory authorities such as the Cayman Islands Monetary Authority or the Tax Information Authority. The RIA and such authorized affiliates, in turn, may exchange this information with foreign authorities, including tax</w:t>
      </w:r>
      <w:r>
        <w:rPr>
          <w:spacing w:val="-1"/>
        </w:rPr>
        <w:t xml:space="preserve"> </w:t>
      </w:r>
      <w:r>
        <w:t>authorities.</w:t>
      </w:r>
    </w:p>
    <w:p>
      <w:pPr>
        <w:sectPr>
          <w:type w:val="nextPage"/>
          <w:pgSz w:w="12240" w:h="15840"/>
          <w:pgMar w:top="1400" w:right="20" w:bottom="720" w:left="40" w:header="708" w:footer="708"/>
          <w:cols w:space="708"/>
        </w:sectPr>
      </w:pPr>
    </w:p>
    <w:p>
      <w:pPr>
        <w:spacing w:before="39" w:after="0"/>
        <w:ind w:left="1400" w:right="1419"/>
        <w:jc w:val="both"/>
      </w:pPr>
      <w:r>
        <w:t>The RIA anticipates disclosing Investor Data to parties who provide services to Investment Vehicles advised by the RIA and their respective affiliates (which may include certain entities located outside the Cayman</w:t>
      </w:r>
      <w:r>
        <w:rPr>
          <w:spacing w:val="-11"/>
        </w:rPr>
        <w:t xml:space="preserve"> </w:t>
      </w:r>
      <w:r>
        <w:t>Islands</w:t>
      </w:r>
      <w:r>
        <w:rPr>
          <w:spacing w:val="-10"/>
        </w:rPr>
        <w:t xml:space="preserve"> </w:t>
      </w:r>
      <w:r>
        <w:t>or</w:t>
      </w:r>
      <w:r>
        <w:rPr>
          <w:spacing w:val="-10"/>
        </w:rPr>
        <w:t xml:space="preserve"> </w:t>
      </w:r>
      <w:r>
        <w:t>the</w:t>
      </w:r>
      <w:r>
        <w:rPr>
          <w:spacing w:val="-9"/>
        </w:rPr>
        <w:t xml:space="preserve"> </w:t>
      </w:r>
      <w:r>
        <w:t>European</w:t>
      </w:r>
      <w:r>
        <w:rPr>
          <w:spacing w:val="-11"/>
        </w:rPr>
        <w:t xml:space="preserve"> </w:t>
      </w:r>
      <w:r>
        <w:t>Economic</w:t>
      </w:r>
      <w:r>
        <w:rPr>
          <w:spacing w:val="-11"/>
        </w:rPr>
        <w:t xml:space="preserve"> </w:t>
      </w:r>
      <w:r>
        <w:t>Area),</w:t>
      </w:r>
      <w:r>
        <w:rPr>
          <w:spacing w:val="-10"/>
        </w:rPr>
        <w:t xml:space="preserve"> </w:t>
      </w:r>
      <w:r>
        <w:t>who</w:t>
      </w:r>
      <w:r>
        <w:rPr>
          <w:spacing w:val="-10"/>
        </w:rPr>
        <w:t xml:space="preserve"> </w:t>
      </w:r>
      <w:r>
        <w:t>will</w:t>
      </w:r>
      <w:r>
        <w:rPr>
          <w:spacing w:val="-11"/>
        </w:rPr>
        <w:t xml:space="preserve"> </w:t>
      </w:r>
      <w:r>
        <w:t>process</w:t>
      </w:r>
      <w:r>
        <w:rPr>
          <w:spacing w:val="-10"/>
        </w:rPr>
        <w:t xml:space="preserve"> </w:t>
      </w:r>
      <w:r>
        <w:t>your</w:t>
      </w:r>
      <w:r>
        <w:rPr>
          <w:spacing w:val="-10"/>
        </w:rPr>
        <w:t xml:space="preserve"> </w:t>
      </w:r>
      <w:r>
        <w:t>personal</w:t>
      </w:r>
      <w:r>
        <w:rPr>
          <w:spacing w:val="-10"/>
        </w:rPr>
        <w:t xml:space="preserve"> </w:t>
      </w:r>
      <w:r>
        <w:t>data</w:t>
      </w:r>
      <w:r>
        <w:rPr>
          <w:spacing w:val="-11"/>
        </w:rPr>
        <w:t xml:space="preserve"> </w:t>
      </w:r>
      <w:r>
        <w:t>on</w:t>
      </w:r>
      <w:r>
        <w:rPr>
          <w:spacing w:val="-10"/>
        </w:rPr>
        <w:t xml:space="preserve"> </w:t>
      </w:r>
      <w:r>
        <w:t>our</w:t>
      </w:r>
      <w:r>
        <w:rPr>
          <w:spacing w:val="-9"/>
        </w:rPr>
        <w:t xml:space="preserve"> </w:t>
      </w:r>
      <w:r>
        <w:t>behalf.</w:t>
      </w:r>
      <w:r>
        <w:rPr>
          <w:spacing w:val="30"/>
        </w:rPr>
        <w:t xml:space="preserve"> </w:t>
      </w:r>
      <w:r>
        <w:t>Such parties may include, to the extent</w:t>
      </w:r>
      <w:r>
        <w:rPr>
          <w:spacing w:val="-4"/>
        </w:rPr>
        <w:t xml:space="preserve"> </w:t>
      </w:r>
      <w:r>
        <w:t>applicable:</w:t>
      </w:r>
    </w:p>
    <w:p>
      <w:pPr>
        <w:spacing w:before="0" w:after="0"/>
        <w:rPr>
          <w:rFonts w:ascii="Calibri" w:eastAsia="Calibri" w:hAnsi="Calibri" w:cs="Calibri"/>
          <w:sz w:val="22"/>
          <w:szCs w:val="22"/>
        </w:rPr>
      </w:pPr>
    </w:p>
    <w:p>
      <w:pPr>
        <w:numPr>
          <w:ilvl w:val="0"/>
          <w:numId w:val="4"/>
        </w:numPr>
        <w:tabs>
          <w:tab w:val="left" w:pos="2427"/>
        </w:tabs>
        <w:spacing w:before="0"/>
        <w:ind w:left="2120" w:right="1419" w:firstLine="0"/>
        <w:jc w:val="both"/>
        <w:rPr>
          <w:spacing w:val="-1"/>
        </w:rPr>
      </w:pPr>
      <w:r>
        <w:rPr>
          <w:spacing w:val="0"/>
        </w:rPr>
        <w:t>An Investment Vehicle’s administrator, trustee and/or custodians, as set forth in the Investment Vehicle’s offering</w:t>
      </w:r>
      <w:r>
        <w:rPr>
          <w:spacing w:val="-4"/>
        </w:rPr>
        <w:t xml:space="preserve"> </w:t>
      </w:r>
      <w:r>
        <w:rPr>
          <w:spacing w:val="0"/>
        </w:rPr>
        <w:t>documents;</w:t>
      </w:r>
    </w:p>
    <w:p>
      <w:pPr>
        <w:numPr>
          <w:ilvl w:val="0"/>
          <w:numId w:val="4"/>
        </w:numPr>
        <w:tabs>
          <w:tab w:val="left" w:pos="2425"/>
        </w:tabs>
        <w:ind w:left="2120" w:right="1417" w:hanging="1"/>
        <w:jc w:val="both"/>
        <w:rPr>
          <w:spacing w:val="-1"/>
        </w:rPr>
      </w:pPr>
      <w:r>
        <w:rPr>
          <w:spacing w:val="0"/>
        </w:rPr>
        <w:t>An Investment Vehicle’s investment adviser, accountants, auditors, custodians, depositories, financial</w:t>
      </w:r>
      <w:r>
        <w:rPr>
          <w:spacing w:val="-11"/>
        </w:rPr>
        <w:t xml:space="preserve"> </w:t>
      </w:r>
      <w:r>
        <w:rPr>
          <w:spacing w:val="0"/>
        </w:rPr>
        <w:t>advisors,</w:t>
      </w:r>
      <w:r>
        <w:rPr>
          <w:spacing w:val="-10"/>
        </w:rPr>
        <w:t xml:space="preserve"> </w:t>
      </w:r>
      <w:r>
        <w:rPr>
          <w:spacing w:val="0"/>
        </w:rPr>
        <w:t>lawyers,</w:t>
      </w:r>
      <w:r>
        <w:rPr>
          <w:spacing w:val="-11"/>
        </w:rPr>
        <w:t xml:space="preserve"> </w:t>
      </w:r>
      <w:r>
        <w:rPr>
          <w:spacing w:val="0"/>
        </w:rPr>
        <w:t>tax</w:t>
      </w:r>
      <w:r>
        <w:rPr>
          <w:spacing w:val="-10"/>
        </w:rPr>
        <w:t xml:space="preserve"> </w:t>
      </w:r>
      <w:r>
        <w:rPr>
          <w:spacing w:val="0"/>
        </w:rPr>
        <w:t>advisors</w:t>
      </w:r>
      <w:r>
        <w:rPr>
          <w:spacing w:val="-10"/>
        </w:rPr>
        <w:t xml:space="preserve"> </w:t>
      </w:r>
      <w:r>
        <w:rPr>
          <w:spacing w:val="0"/>
        </w:rPr>
        <w:t>and</w:t>
      </w:r>
      <w:r>
        <w:rPr>
          <w:spacing w:val="-10"/>
        </w:rPr>
        <w:t xml:space="preserve"> </w:t>
      </w:r>
      <w:r>
        <w:rPr>
          <w:spacing w:val="0"/>
        </w:rPr>
        <w:t>other</w:t>
      </w:r>
      <w:r>
        <w:rPr>
          <w:spacing w:val="-10"/>
        </w:rPr>
        <w:t xml:space="preserve"> </w:t>
      </w:r>
      <w:r>
        <w:rPr>
          <w:spacing w:val="0"/>
        </w:rPr>
        <w:t>outside</w:t>
      </w:r>
      <w:r>
        <w:rPr>
          <w:spacing w:val="-10"/>
        </w:rPr>
        <w:t xml:space="preserve"> </w:t>
      </w:r>
      <w:r>
        <w:rPr>
          <w:spacing w:val="0"/>
        </w:rPr>
        <w:t>professional</w:t>
      </w:r>
      <w:r>
        <w:rPr>
          <w:spacing w:val="-10"/>
        </w:rPr>
        <w:t xml:space="preserve"> </w:t>
      </w:r>
      <w:r>
        <w:rPr>
          <w:spacing w:val="0"/>
        </w:rPr>
        <w:t>advisors</w:t>
      </w:r>
      <w:r>
        <w:rPr>
          <w:spacing w:val="-11"/>
        </w:rPr>
        <w:t xml:space="preserve"> </w:t>
      </w:r>
      <w:r>
        <w:rPr>
          <w:spacing w:val="0"/>
        </w:rPr>
        <w:t>to</w:t>
      </w:r>
      <w:r>
        <w:rPr>
          <w:spacing w:val="-9"/>
        </w:rPr>
        <w:t xml:space="preserve"> </w:t>
      </w:r>
      <w:r>
        <w:rPr>
          <w:spacing w:val="0"/>
        </w:rPr>
        <w:t>the</w:t>
      </w:r>
      <w:r>
        <w:rPr>
          <w:spacing w:val="-10"/>
        </w:rPr>
        <w:t xml:space="preserve"> </w:t>
      </w:r>
      <w:r>
        <w:rPr>
          <w:spacing w:val="0"/>
        </w:rPr>
        <w:t>Investment Vehicle;</w:t>
      </w:r>
    </w:p>
    <w:p>
      <w:pPr>
        <w:numPr>
          <w:ilvl w:val="0"/>
          <w:numId w:val="4"/>
        </w:numPr>
        <w:tabs>
          <w:tab w:val="left" w:pos="2451"/>
        </w:tabs>
        <w:ind w:left="2120" w:right="1418" w:hanging="1"/>
        <w:jc w:val="both"/>
        <w:rPr>
          <w:spacing w:val="-1"/>
        </w:rPr>
      </w:pPr>
      <w:r>
        <w:rPr>
          <w:spacing w:val="0"/>
        </w:rPr>
        <w:t>Public</w:t>
      </w:r>
      <w:r>
        <w:rPr>
          <w:spacing w:val="-9"/>
        </w:rPr>
        <w:t xml:space="preserve"> </w:t>
      </w:r>
      <w:r>
        <w:rPr>
          <w:spacing w:val="0"/>
        </w:rPr>
        <w:t>entities</w:t>
      </w:r>
      <w:r>
        <w:rPr>
          <w:spacing w:val="-7"/>
        </w:rPr>
        <w:t xml:space="preserve"> </w:t>
      </w:r>
      <w:r>
        <w:rPr>
          <w:spacing w:val="0"/>
        </w:rPr>
        <w:t>and</w:t>
      </w:r>
      <w:r>
        <w:rPr>
          <w:spacing w:val="-8"/>
        </w:rPr>
        <w:t xml:space="preserve"> </w:t>
      </w:r>
      <w:r>
        <w:rPr>
          <w:spacing w:val="0"/>
        </w:rPr>
        <w:t>institutions</w:t>
      </w:r>
      <w:r>
        <w:rPr>
          <w:spacing w:val="-6"/>
        </w:rPr>
        <w:t xml:space="preserve"> </w:t>
      </w:r>
      <w:r>
        <w:rPr>
          <w:spacing w:val="0"/>
        </w:rPr>
        <w:t>(e.g.,</w:t>
      </w:r>
      <w:r>
        <w:rPr>
          <w:spacing w:val="-7"/>
        </w:rPr>
        <w:t xml:space="preserve"> </w:t>
      </w:r>
      <w:r>
        <w:rPr>
          <w:spacing w:val="0"/>
        </w:rPr>
        <w:t>regulatory,</w:t>
      </w:r>
      <w:r>
        <w:rPr>
          <w:spacing w:val="-8"/>
        </w:rPr>
        <w:t xml:space="preserve"> </w:t>
      </w:r>
      <w:r>
        <w:rPr>
          <w:spacing w:val="0"/>
        </w:rPr>
        <w:t>quasi-regulatory,</w:t>
      </w:r>
      <w:r>
        <w:rPr>
          <w:spacing w:val="-7"/>
        </w:rPr>
        <w:t xml:space="preserve"> </w:t>
      </w:r>
      <w:r>
        <w:rPr>
          <w:spacing w:val="0"/>
        </w:rPr>
        <w:t>tax</w:t>
      </w:r>
      <w:r>
        <w:rPr>
          <w:spacing w:val="-8"/>
        </w:rPr>
        <w:t xml:space="preserve"> </w:t>
      </w:r>
      <w:r>
        <w:rPr>
          <w:spacing w:val="0"/>
        </w:rPr>
        <w:t>or</w:t>
      </w:r>
      <w:r>
        <w:rPr>
          <w:spacing w:val="-8"/>
        </w:rPr>
        <w:t xml:space="preserve"> </w:t>
      </w:r>
      <w:r>
        <w:rPr>
          <w:spacing w:val="0"/>
        </w:rPr>
        <w:t>other</w:t>
      </w:r>
      <w:r>
        <w:rPr>
          <w:spacing w:val="-7"/>
        </w:rPr>
        <w:t xml:space="preserve"> </w:t>
      </w:r>
      <w:r>
        <w:rPr>
          <w:spacing w:val="0"/>
        </w:rPr>
        <w:t>authorities,</w:t>
      </w:r>
      <w:r>
        <w:rPr>
          <w:spacing w:val="-8"/>
        </w:rPr>
        <w:t xml:space="preserve"> </w:t>
      </w:r>
      <w:r>
        <w:rPr>
          <w:spacing w:val="0"/>
        </w:rPr>
        <w:t>law enforcement agencies, courts, arbitrational bodies, fraud prevention</w:t>
      </w:r>
      <w:r>
        <w:rPr>
          <w:spacing w:val="-11"/>
        </w:rPr>
        <w:t xml:space="preserve"> </w:t>
      </w:r>
      <w:r>
        <w:rPr>
          <w:spacing w:val="0"/>
        </w:rPr>
        <w:t>agencies);</w:t>
      </w:r>
    </w:p>
    <w:p>
      <w:pPr>
        <w:numPr>
          <w:ilvl w:val="0"/>
          <w:numId w:val="4"/>
        </w:numPr>
        <w:tabs>
          <w:tab w:val="left" w:pos="2462"/>
        </w:tabs>
        <w:ind w:left="2120" w:right="1418" w:firstLine="0"/>
        <w:jc w:val="both"/>
        <w:rPr>
          <w:spacing w:val="-1"/>
        </w:rPr>
      </w:pPr>
      <w:r>
        <w:rPr>
          <w:spacing w:val="0"/>
        </w:rPr>
        <w:t>To a natural or legal person, public authority, regulatory agency or body for which you have given the RIA your consent to transfer personal</w:t>
      </w:r>
      <w:r>
        <w:rPr>
          <w:spacing w:val="-5"/>
        </w:rPr>
        <w:t xml:space="preserve"> </w:t>
      </w:r>
      <w:r>
        <w:rPr>
          <w:spacing w:val="0"/>
        </w:rPr>
        <w:t>data;</w:t>
      </w:r>
    </w:p>
    <w:p>
      <w:pPr>
        <w:numPr>
          <w:ilvl w:val="0"/>
          <w:numId w:val="4"/>
        </w:numPr>
        <w:spacing w:line="268" w:lineRule="atLeast"/>
        <w:ind w:left="2402" w:right="0" w:hanging="283"/>
        <w:jc w:val="both"/>
        <w:rPr>
          <w:spacing w:val="-1"/>
        </w:rPr>
      </w:pPr>
      <w:r>
        <w:rPr>
          <w:spacing w:val="0"/>
        </w:rPr>
        <w:t>To insurers;</w:t>
      </w:r>
      <w:r>
        <w:rPr>
          <w:spacing w:val="-2"/>
        </w:rPr>
        <w:t xml:space="preserve"> </w:t>
      </w:r>
      <w:r>
        <w:rPr>
          <w:spacing w:val="0"/>
        </w:rPr>
        <w:t>and,</w:t>
      </w:r>
    </w:p>
    <w:p>
      <w:pPr>
        <w:numPr>
          <w:ilvl w:val="0"/>
          <w:numId w:val="4"/>
        </w:numPr>
        <w:tabs>
          <w:tab w:val="left" w:pos="2482"/>
        </w:tabs>
        <w:spacing w:after="0"/>
        <w:ind w:left="2120" w:right="1417" w:firstLine="0"/>
        <w:jc w:val="both"/>
        <w:rPr>
          <w:spacing w:val="-1"/>
        </w:rPr>
      </w:pPr>
      <w:r>
        <w:rPr>
          <w:spacing w:val="0"/>
        </w:rPr>
        <w:t>To service providers and agents appointed by the RIA for the purposes given. These are companies in the categories of IT services, logistics, telecommunications, advice and consulting, and sales and marketing and translation</w:t>
      </w:r>
      <w:r>
        <w:rPr>
          <w:spacing w:val="-6"/>
        </w:rPr>
        <w:t xml:space="preserve"> </w:t>
      </w:r>
      <w:r>
        <w:rPr>
          <w:spacing w:val="0"/>
        </w:rPr>
        <w:t>services.</w:t>
      </w:r>
    </w:p>
    <w:p>
      <w:pPr>
        <w:spacing w:before="12" w:after="0"/>
        <w:rPr>
          <w:rFonts w:ascii="Calibri" w:eastAsia="Calibri" w:hAnsi="Calibri" w:cs="Calibri"/>
          <w:sz w:val="21"/>
          <w:szCs w:val="21"/>
        </w:rPr>
      </w:pPr>
    </w:p>
    <w:p>
      <w:pPr>
        <w:spacing w:before="0" w:after="0"/>
        <w:ind w:left="1400" w:right="1419"/>
        <w:jc w:val="both"/>
      </w:pPr>
      <w:r>
        <w:t>There may be other recipients who need your personal data due to the particular services that the RIA provides to you.</w:t>
      </w:r>
    </w:p>
    <w:p>
      <w:pPr>
        <w:spacing w:before="0" w:after="0"/>
        <w:rPr>
          <w:rFonts w:ascii="Calibri" w:eastAsia="Calibri" w:hAnsi="Calibri" w:cs="Calibri"/>
          <w:sz w:val="22"/>
          <w:szCs w:val="22"/>
        </w:rPr>
      </w:pPr>
    </w:p>
    <w:p>
      <w:pPr>
        <w:pStyle w:val="Heading1"/>
        <w:keepNext w:val="0"/>
        <w:keepLines w:val="0"/>
        <w:spacing w:before="1"/>
        <w:ind w:left="1400"/>
        <w:jc w:val="both"/>
        <w:rPr>
          <w:b/>
          <w:bCs/>
        </w:rPr>
      </w:pPr>
      <w:r>
        <w:rPr>
          <w:rFonts w:ascii="Calibri" w:eastAsia="Calibri" w:hAnsi="Calibri" w:cs="Calibri"/>
          <w:i w:val="0"/>
          <w:color w:val="auto"/>
          <w:sz w:val="22"/>
          <w:szCs w:val="22"/>
        </w:rPr>
        <w:t>Transferring Data</w:t>
      </w:r>
    </w:p>
    <w:p>
      <w:pPr>
        <w:spacing w:before="11" w:after="0"/>
        <w:rPr>
          <w:rFonts w:ascii="Calibri" w:eastAsia="Calibri" w:hAnsi="Calibri" w:cs="Calibri"/>
          <w:b/>
          <w:bCs/>
          <w:sz w:val="21"/>
          <w:szCs w:val="21"/>
        </w:rPr>
      </w:pPr>
    </w:p>
    <w:p>
      <w:pPr>
        <w:spacing w:before="0" w:after="0"/>
        <w:ind w:left="1400" w:right="1417"/>
        <w:jc w:val="both"/>
      </w:pPr>
      <w:r>
        <w:t>In certain circumstances, the RIA may transfer your personal data to another country, which may be outside the United States, the Cayman Islands, or a country deemed by the Office of the Ombudsman in the Cayman Islands as providing adequate privacy protection such as, for example, the European Union, Member States of the European Economic Area and other countries with data protection regulation deemed equivalent by the European Commission.</w:t>
      </w:r>
    </w:p>
    <w:p>
      <w:pPr>
        <w:spacing w:before="0" w:after="0"/>
        <w:rPr>
          <w:rFonts w:ascii="Calibri" w:eastAsia="Calibri" w:hAnsi="Calibri" w:cs="Calibri"/>
          <w:sz w:val="22"/>
          <w:szCs w:val="22"/>
        </w:rPr>
      </w:pPr>
    </w:p>
    <w:p>
      <w:pPr>
        <w:spacing w:before="0" w:after="0"/>
        <w:ind w:left="1400" w:right="1415"/>
        <w:jc w:val="both"/>
      </w:pPr>
      <w:r>
        <w:t>The RIA may also need to transfer your personal data to a country that may not afford the same level of privacy protection as the Cayman Islands (“third countries”). You understand that the data protection legislation</w:t>
      </w:r>
      <w:r>
        <w:rPr>
          <w:spacing w:val="-5"/>
        </w:rPr>
        <w:t xml:space="preserve"> </w:t>
      </w:r>
      <w:r>
        <w:t>in</w:t>
      </w:r>
      <w:r>
        <w:rPr>
          <w:spacing w:val="-4"/>
        </w:rPr>
        <w:t xml:space="preserve"> </w:t>
      </w:r>
      <w:r>
        <w:t>these</w:t>
      </w:r>
      <w:r>
        <w:rPr>
          <w:spacing w:val="-5"/>
        </w:rPr>
        <w:t xml:space="preserve"> </w:t>
      </w:r>
      <w:r>
        <w:t>third</w:t>
      </w:r>
      <w:r>
        <w:rPr>
          <w:spacing w:val="-4"/>
        </w:rPr>
        <w:t xml:space="preserve"> </w:t>
      </w:r>
      <w:r>
        <w:t>countries</w:t>
      </w:r>
      <w:r>
        <w:rPr>
          <w:spacing w:val="-5"/>
        </w:rPr>
        <w:t xml:space="preserve"> </w:t>
      </w:r>
      <w:r>
        <w:t>may</w:t>
      </w:r>
      <w:r>
        <w:rPr>
          <w:spacing w:val="-3"/>
        </w:rPr>
        <w:t xml:space="preserve"> </w:t>
      </w:r>
      <w:r>
        <w:t>not</w:t>
      </w:r>
      <w:r>
        <w:rPr>
          <w:spacing w:val="-5"/>
        </w:rPr>
        <w:t xml:space="preserve"> </w:t>
      </w:r>
      <w:r>
        <w:t>give</w:t>
      </w:r>
      <w:r>
        <w:rPr>
          <w:spacing w:val="-5"/>
        </w:rPr>
        <w:t xml:space="preserve"> </w:t>
      </w:r>
      <w:r>
        <w:t>you</w:t>
      </w:r>
      <w:r>
        <w:rPr>
          <w:spacing w:val="-5"/>
        </w:rPr>
        <w:t xml:space="preserve"> </w:t>
      </w:r>
      <w:r>
        <w:t>as</w:t>
      </w:r>
      <w:r>
        <w:rPr>
          <w:spacing w:val="-5"/>
        </w:rPr>
        <w:t xml:space="preserve"> </w:t>
      </w:r>
      <w:r>
        <w:t>much</w:t>
      </w:r>
      <w:r>
        <w:rPr>
          <w:spacing w:val="-5"/>
        </w:rPr>
        <w:t xml:space="preserve"> </w:t>
      </w:r>
      <w:r>
        <w:t>protection</w:t>
      </w:r>
      <w:r>
        <w:rPr>
          <w:spacing w:val="-5"/>
        </w:rPr>
        <w:t xml:space="preserve"> </w:t>
      </w:r>
      <w:r>
        <w:t>as</w:t>
      </w:r>
      <w:r>
        <w:rPr>
          <w:spacing w:val="-5"/>
        </w:rPr>
        <w:t xml:space="preserve"> </w:t>
      </w:r>
      <w:r>
        <w:t>the</w:t>
      </w:r>
      <w:r>
        <w:rPr>
          <w:spacing w:val="-4"/>
        </w:rPr>
        <w:t xml:space="preserve"> </w:t>
      </w:r>
      <w:r>
        <w:t>DPA. For transfers to third countries, the RIA will transfer the personal data in accordance</w:t>
      </w:r>
      <w:r>
        <w:rPr>
          <w:spacing w:val="-4"/>
        </w:rPr>
        <w:t xml:space="preserve"> </w:t>
      </w:r>
      <w:r>
        <w:t>with</w:t>
      </w:r>
      <w:r>
        <w:rPr>
          <w:spacing w:val="-5"/>
        </w:rPr>
        <w:t xml:space="preserve"> </w:t>
      </w:r>
      <w:r>
        <w:t>the</w:t>
      </w:r>
      <w:r>
        <w:rPr>
          <w:spacing w:val="-5"/>
        </w:rPr>
        <w:t xml:space="preserve"> </w:t>
      </w:r>
      <w:r>
        <w:t>DPA such</w:t>
      </w:r>
      <w:r>
        <w:rPr>
          <w:spacing w:val="-4"/>
        </w:rPr>
        <w:t xml:space="preserve"> </w:t>
      </w:r>
      <w:r>
        <w:t>as</w:t>
      </w:r>
      <w:r>
        <w:rPr>
          <w:spacing w:val="-5"/>
        </w:rPr>
        <w:t xml:space="preserve"> </w:t>
      </w:r>
      <w:r>
        <w:t>relying</w:t>
      </w:r>
      <w:r>
        <w:rPr>
          <w:spacing w:val="-4"/>
        </w:rPr>
        <w:t xml:space="preserve"> </w:t>
      </w:r>
      <w:r>
        <w:t>on</w:t>
      </w:r>
      <w:r>
        <w:rPr>
          <w:spacing w:val="-4"/>
        </w:rPr>
        <w:t xml:space="preserve"> </w:t>
      </w:r>
      <w:r>
        <w:t>a</w:t>
      </w:r>
      <w:r>
        <w:rPr>
          <w:spacing w:val="-5"/>
        </w:rPr>
        <w:t xml:space="preserve"> </w:t>
      </w:r>
      <w:r>
        <w:t>derogation</w:t>
      </w:r>
      <w:r>
        <w:rPr>
          <w:spacing w:val="-5"/>
        </w:rPr>
        <w:t xml:space="preserve"> </w:t>
      </w:r>
      <w:r>
        <w:t>applicable to</w:t>
      </w:r>
      <w:r>
        <w:rPr>
          <w:spacing w:val="-6"/>
        </w:rPr>
        <w:t xml:space="preserve"> </w:t>
      </w:r>
      <w:r>
        <w:t>the</w:t>
      </w:r>
      <w:r>
        <w:rPr>
          <w:spacing w:val="-6"/>
        </w:rPr>
        <w:t xml:space="preserve"> </w:t>
      </w:r>
      <w:r>
        <w:t>specific</w:t>
      </w:r>
      <w:r>
        <w:rPr>
          <w:spacing w:val="-7"/>
        </w:rPr>
        <w:t xml:space="preserve"> </w:t>
      </w:r>
      <w:r>
        <w:t>situation</w:t>
      </w:r>
      <w:r>
        <w:rPr>
          <w:spacing w:val="-7"/>
        </w:rPr>
        <w:t xml:space="preserve"> </w:t>
      </w:r>
      <w:r>
        <w:t>or</w:t>
      </w:r>
      <w:r>
        <w:rPr>
          <w:spacing w:val="-5"/>
        </w:rPr>
        <w:t xml:space="preserve"> by </w:t>
      </w:r>
      <w:r>
        <w:t>implementing</w:t>
      </w:r>
      <w:r>
        <w:rPr>
          <w:spacing w:val="-7"/>
        </w:rPr>
        <w:t xml:space="preserve"> </w:t>
      </w:r>
      <w:r>
        <w:t>data</w:t>
      </w:r>
      <w:r>
        <w:rPr>
          <w:spacing w:val="-6"/>
        </w:rPr>
        <w:t xml:space="preserve"> </w:t>
      </w:r>
      <w:r>
        <w:t>transfer</w:t>
      </w:r>
      <w:r>
        <w:rPr>
          <w:spacing w:val="-6"/>
        </w:rPr>
        <w:t xml:space="preserve"> </w:t>
      </w:r>
      <w:r>
        <w:t>contractual</w:t>
      </w:r>
      <w:r>
        <w:rPr>
          <w:spacing w:val="-5"/>
        </w:rPr>
        <w:t xml:space="preserve"> </w:t>
      </w:r>
      <w:r>
        <w:t>provisions</w:t>
      </w:r>
      <w:r>
        <w:rPr>
          <w:spacing w:val="-6"/>
        </w:rPr>
        <w:t xml:space="preserve"> </w:t>
      </w:r>
      <w:r>
        <w:t>meeting</w:t>
      </w:r>
      <w:r>
        <w:rPr>
          <w:spacing w:val="-5"/>
        </w:rPr>
        <w:t xml:space="preserve"> </w:t>
      </w:r>
      <w:r>
        <w:t>the</w:t>
      </w:r>
      <w:r>
        <w:rPr>
          <w:spacing w:val="-6"/>
        </w:rPr>
        <w:t xml:space="preserve"> </w:t>
      </w:r>
      <w:r>
        <w:t>standard</w:t>
      </w:r>
      <w:r>
        <w:rPr>
          <w:spacing w:val="-7"/>
        </w:rPr>
        <w:t xml:space="preserve"> </w:t>
      </w:r>
      <w:r>
        <w:t>imposed under the DPA in an effort to ensure the protection of your personal data. Reasons for having to possibly transfer your data outside the Cayman Island may include - a need to carry out the RIA’s contract with you,</w:t>
      </w:r>
      <w:r>
        <w:rPr>
          <w:spacing w:val="-13"/>
        </w:rPr>
        <w:t xml:space="preserve"> </w:t>
      </w:r>
      <w:r>
        <w:t>the</w:t>
      </w:r>
      <w:r>
        <w:rPr>
          <w:spacing w:val="-12"/>
        </w:rPr>
        <w:t xml:space="preserve"> </w:t>
      </w:r>
      <w:r>
        <w:t>RIA</w:t>
      </w:r>
      <w:r>
        <w:rPr>
          <w:spacing w:val="-11"/>
        </w:rPr>
        <w:t xml:space="preserve"> </w:t>
      </w:r>
      <w:r>
        <w:t>having</w:t>
      </w:r>
      <w:r>
        <w:rPr>
          <w:spacing w:val="-12"/>
        </w:rPr>
        <w:t xml:space="preserve"> </w:t>
      </w:r>
      <w:r>
        <w:t>fulfill</w:t>
      </w:r>
      <w:r>
        <w:rPr>
          <w:spacing w:val="-11"/>
        </w:rPr>
        <w:t xml:space="preserve"> </w:t>
      </w:r>
      <w:r>
        <w:t>a</w:t>
      </w:r>
      <w:r>
        <w:rPr>
          <w:spacing w:val="-13"/>
        </w:rPr>
        <w:t xml:space="preserve"> </w:t>
      </w:r>
      <w:r>
        <w:t>legal</w:t>
      </w:r>
      <w:r>
        <w:rPr>
          <w:spacing w:val="-13"/>
        </w:rPr>
        <w:t xml:space="preserve"> </w:t>
      </w:r>
      <w:r>
        <w:t>and/or</w:t>
      </w:r>
      <w:r>
        <w:rPr>
          <w:spacing w:val="-11"/>
        </w:rPr>
        <w:t xml:space="preserve"> </w:t>
      </w:r>
      <w:r>
        <w:t>compliance</w:t>
      </w:r>
      <w:r>
        <w:rPr>
          <w:spacing w:val="-12"/>
        </w:rPr>
        <w:t xml:space="preserve"> </w:t>
      </w:r>
      <w:r>
        <w:t>obligation;</w:t>
      </w:r>
      <w:r>
        <w:rPr>
          <w:spacing w:val="-11"/>
        </w:rPr>
        <w:t xml:space="preserve"> </w:t>
      </w:r>
      <w:r>
        <w:t>the</w:t>
      </w:r>
      <w:r>
        <w:rPr>
          <w:spacing w:val="-12"/>
        </w:rPr>
        <w:t xml:space="preserve"> </w:t>
      </w:r>
      <w:r>
        <w:t>RIA</w:t>
      </w:r>
      <w:r>
        <w:rPr>
          <w:spacing w:val="-13"/>
        </w:rPr>
        <w:t xml:space="preserve"> </w:t>
      </w:r>
      <w:r>
        <w:t>needing to</w:t>
      </w:r>
      <w:r>
        <w:rPr>
          <w:spacing w:val="-12"/>
        </w:rPr>
        <w:t xml:space="preserve"> </w:t>
      </w:r>
      <w:r>
        <w:t>protect</w:t>
      </w:r>
      <w:r>
        <w:rPr>
          <w:spacing w:val="-12"/>
        </w:rPr>
        <w:t xml:space="preserve"> </w:t>
      </w:r>
      <w:r>
        <w:t>the</w:t>
      </w:r>
      <w:r>
        <w:rPr>
          <w:spacing w:val="-11"/>
        </w:rPr>
        <w:t xml:space="preserve"> </w:t>
      </w:r>
      <w:r>
        <w:t>public</w:t>
      </w:r>
      <w:r>
        <w:rPr>
          <w:spacing w:val="-13"/>
        </w:rPr>
        <w:t xml:space="preserve"> </w:t>
      </w:r>
      <w:r>
        <w:t>interest; and/or for your or our legitimate</w:t>
      </w:r>
      <w:r>
        <w:rPr>
          <w:spacing w:val="-6"/>
        </w:rPr>
        <w:t xml:space="preserve"> </w:t>
      </w:r>
      <w:r>
        <w:t>interests.</w:t>
      </w:r>
    </w:p>
    <w:p>
      <w:pPr>
        <w:spacing w:before="1" w:after="0"/>
        <w:rPr>
          <w:rFonts w:ascii="Calibri" w:eastAsia="Calibri" w:hAnsi="Calibri" w:cs="Calibri"/>
          <w:sz w:val="22"/>
          <w:szCs w:val="22"/>
        </w:rPr>
      </w:pPr>
    </w:p>
    <w:p>
      <w:pPr>
        <w:pStyle w:val="Heading1"/>
        <w:keepNext w:val="0"/>
        <w:keepLines w:val="0"/>
        <w:spacing w:before="0"/>
        <w:ind w:left="1400"/>
        <w:jc w:val="both"/>
        <w:rPr>
          <w:b/>
          <w:bCs/>
        </w:rPr>
      </w:pPr>
      <w:r>
        <w:rPr>
          <w:rFonts w:ascii="Calibri" w:eastAsia="Calibri" w:hAnsi="Calibri" w:cs="Calibri"/>
          <w:i w:val="0"/>
          <w:color w:val="auto"/>
          <w:sz w:val="22"/>
          <w:szCs w:val="22"/>
        </w:rPr>
        <w:t>Retention of Personal Data</w:t>
      </w:r>
    </w:p>
    <w:p>
      <w:pPr>
        <w:spacing w:before="11" w:after="0"/>
        <w:rPr>
          <w:rFonts w:ascii="Calibri" w:eastAsia="Calibri" w:hAnsi="Calibri" w:cs="Calibri"/>
          <w:b/>
          <w:bCs/>
          <w:sz w:val="21"/>
          <w:szCs w:val="21"/>
        </w:rPr>
      </w:pPr>
    </w:p>
    <w:p>
      <w:pPr>
        <w:spacing w:before="0" w:after="0"/>
        <w:ind w:left="1400" w:right="1418"/>
        <w:jc w:val="both"/>
      </w:pPr>
      <w:r>
        <w:t>The</w:t>
      </w:r>
      <w:r>
        <w:rPr>
          <w:spacing w:val="-3"/>
        </w:rPr>
        <w:t xml:space="preserve"> </w:t>
      </w:r>
      <w:r>
        <w:t>RIA</w:t>
      </w:r>
      <w:r>
        <w:rPr>
          <w:spacing w:val="-3"/>
        </w:rPr>
        <w:t xml:space="preserve"> </w:t>
      </w:r>
      <w:r>
        <w:t>will</w:t>
      </w:r>
      <w:r>
        <w:rPr>
          <w:spacing w:val="-2"/>
        </w:rPr>
        <w:t xml:space="preserve"> </w:t>
      </w:r>
      <w:r>
        <w:t>retain</w:t>
      </w:r>
      <w:r>
        <w:rPr>
          <w:spacing w:val="-3"/>
        </w:rPr>
        <w:t xml:space="preserve"> </w:t>
      </w:r>
      <w:r>
        <w:t>your</w:t>
      </w:r>
      <w:r>
        <w:rPr>
          <w:spacing w:val="-3"/>
        </w:rPr>
        <w:t xml:space="preserve"> </w:t>
      </w:r>
      <w:r>
        <w:t>personal</w:t>
      </w:r>
      <w:r>
        <w:rPr>
          <w:spacing w:val="-4"/>
        </w:rPr>
        <w:t xml:space="preserve"> </w:t>
      </w:r>
      <w:r>
        <w:t>data</w:t>
      </w:r>
      <w:r>
        <w:rPr>
          <w:spacing w:val="-3"/>
        </w:rPr>
        <w:t xml:space="preserve"> </w:t>
      </w:r>
      <w:r>
        <w:t>for</w:t>
      </w:r>
      <w:r>
        <w:rPr>
          <w:spacing w:val="-4"/>
        </w:rPr>
        <w:t xml:space="preserve"> </w:t>
      </w:r>
      <w:r>
        <w:t>as</w:t>
      </w:r>
      <w:r>
        <w:rPr>
          <w:spacing w:val="-3"/>
        </w:rPr>
        <w:t xml:space="preserve"> </w:t>
      </w:r>
      <w:r>
        <w:t>long</w:t>
      </w:r>
      <w:r>
        <w:rPr>
          <w:spacing w:val="-3"/>
        </w:rPr>
        <w:t xml:space="preserve"> </w:t>
      </w:r>
      <w:r>
        <w:t>as</w:t>
      </w:r>
      <w:r>
        <w:rPr>
          <w:spacing w:val="-3"/>
        </w:rPr>
        <w:t xml:space="preserve"> </w:t>
      </w:r>
      <w:r>
        <w:t>is</w:t>
      </w:r>
      <w:r>
        <w:rPr>
          <w:spacing w:val="-4"/>
        </w:rPr>
        <w:t xml:space="preserve"> </w:t>
      </w:r>
      <w:r>
        <w:t>necessary</w:t>
      </w:r>
      <w:r>
        <w:rPr>
          <w:spacing w:val="-3"/>
        </w:rPr>
        <w:t xml:space="preserve"> </w:t>
      </w:r>
      <w:r>
        <w:t>for</w:t>
      </w:r>
      <w:r>
        <w:rPr>
          <w:spacing w:val="-4"/>
        </w:rPr>
        <w:t xml:space="preserve"> </w:t>
      </w:r>
      <w:r>
        <w:t>the</w:t>
      </w:r>
      <w:r>
        <w:rPr>
          <w:spacing w:val="-2"/>
        </w:rPr>
        <w:t xml:space="preserve"> </w:t>
      </w:r>
      <w:r>
        <w:t>purposes</w:t>
      </w:r>
      <w:r>
        <w:rPr>
          <w:spacing w:val="-4"/>
        </w:rPr>
        <w:t xml:space="preserve"> </w:t>
      </w:r>
      <w:r>
        <w:t>set</w:t>
      </w:r>
      <w:r>
        <w:rPr>
          <w:spacing w:val="-2"/>
        </w:rPr>
        <w:t xml:space="preserve"> </w:t>
      </w:r>
      <w:r>
        <w:t>out</w:t>
      </w:r>
      <w:r>
        <w:rPr>
          <w:spacing w:val="-3"/>
        </w:rPr>
        <w:t xml:space="preserve"> </w:t>
      </w:r>
      <w:r>
        <w:t>herein,</w:t>
      </w:r>
      <w:r>
        <w:rPr>
          <w:spacing w:val="-3"/>
        </w:rPr>
        <w:t xml:space="preserve"> </w:t>
      </w:r>
      <w:r>
        <w:t>or</w:t>
      </w:r>
      <w:r>
        <w:rPr>
          <w:spacing w:val="-4"/>
        </w:rPr>
        <w:t xml:space="preserve"> </w:t>
      </w:r>
      <w:r>
        <w:t>for</w:t>
      </w:r>
      <w:r>
        <w:rPr>
          <w:spacing w:val="-2"/>
        </w:rPr>
        <w:t xml:space="preserve"> </w:t>
      </w:r>
      <w:r>
        <w:t>as long as is required by applicable laws and/or</w:t>
      </w:r>
      <w:r>
        <w:rPr>
          <w:spacing w:val="-9"/>
        </w:rPr>
        <w:t xml:space="preserve"> </w:t>
      </w:r>
      <w:r>
        <w:t>regulations.</w:t>
      </w:r>
    </w:p>
    <w:p>
      <w:pPr>
        <w:sectPr>
          <w:type w:val="nextPage"/>
          <w:pgSz w:w="12240" w:h="15840"/>
          <w:pgMar w:top="1400" w:right="20" w:bottom="720" w:left="40" w:header="708" w:footer="708"/>
          <w:cols w:space="708"/>
        </w:sectPr>
      </w:pPr>
    </w:p>
    <w:p>
      <w:pPr>
        <w:pStyle w:val="Heading1"/>
        <w:keepNext w:val="0"/>
        <w:keepLines w:val="0"/>
        <w:spacing w:before="39"/>
        <w:ind w:left="1400"/>
        <w:rPr>
          <w:b/>
          <w:bCs/>
        </w:rPr>
      </w:pPr>
      <w:r>
        <w:rPr>
          <w:rFonts w:ascii="Calibri" w:eastAsia="Calibri" w:hAnsi="Calibri" w:cs="Calibri"/>
          <w:i w:val="0"/>
          <w:color w:val="auto"/>
          <w:sz w:val="22"/>
          <w:szCs w:val="22"/>
        </w:rPr>
        <w:t>Data Privacy Rights</w:t>
      </w:r>
    </w:p>
    <w:p>
      <w:pPr>
        <w:spacing w:before="120" w:after="0"/>
        <w:ind w:left="1400" w:right="1243"/>
      </w:pPr>
      <w:r>
        <w:t>Depending on the jurisdiction, individuals may have the following rights with respect to their personal data:</w:t>
      </w:r>
    </w:p>
    <w:p>
      <w:pPr>
        <w:numPr>
          <w:ilvl w:val="0"/>
          <w:numId w:val="5"/>
        </w:numPr>
        <w:pBdr>
          <w:left w:val="none" w:sz="0" w:space="7" w:color="auto"/>
        </w:pBdr>
        <w:spacing w:before="120" w:line="259" w:lineRule="auto"/>
        <w:ind w:left="2120" w:right="1418" w:hanging="429"/>
        <w:jc w:val="left"/>
        <w:rPr>
          <w:rFonts w:ascii="Times New Roman" w:eastAsia="Times New Roman" w:hAnsi="Times New Roman" w:cs="Times New Roman"/>
        </w:rPr>
      </w:pPr>
      <w:r>
        <w:t>The</w:t>
      </w:r>
      <w:r>
        <w:rPr>
          <w:spacing w:val="-8"/>
        </w:rPr>
        <w:t xml:space="preserve"> </w:t>
      </w:r>
      <w:r>
        <w:t>right</w:t>
      </w:r>
      <w:r>
        <w:rPr>
          <w:spacing w:val="-6"/>
        </w:rPr>
        <w:t xml:space="preserve"> </w:t>
      </w:r>
      <w:r>
        <w:t>to</w:t>
      </w:r>
      <w:r>
        <w:rPr>
          <w:spacing w:val="-5"/>
        </w:rPr>
        <w:t xml:space="preserve"> </w:t>
      </w:r>
      <w:r>
        <w:t>access</w:t>
      </w:r>
      <w:r>
        <w:rPr>
          <w:spacing w:val="-6"/>
        </w:rPr>
        <w:t xml:space="preserve"> </w:t>
      </w:r>
      <w:r>
        <w:t>information</w:t>
      </w:r>
      <w:r>
        <w:rPr>
          <w:spacing w:val="-7"/>
        </w:rPr>
        <w:t xml:space="preserve"> </w:t>
      </w:r>
      <w:r>
        <w:t>the</w:t>
      </w:r>
      <w:r>
        <w:rPr>
          <w:spacing w:val="-5"/>
        </w:rPr>
        <w:t xml:space="preserve"> </w:t>
      </w:r>
      <w:r>
        <w:t>RIA</w:t>
      </w:r>
      <w:r>
        <w:rPr>
          <w:spacing w:val="-5"/>
        </w:rPr>
        <w:t xml:space="preserve"> </w:t>
      </w:r>
      <w:r>
        <w:t>holds</w:t>
      </w:r>
      <w:r>
        <w:rPr>
          <w:spacing w:val="-6"/>
        </w:rPr>
        <w:t xml:space="preserve"> </w:t>
      </w:r>
      <w:r>
        <w:t>about</w:t>
      </w:r>
      <w:r>
        <w:rPr>
          <w:spacing w:val="-7"/>
        </w:rPr>
        <w:t xml:space="preserve"> </w:t>
      </w:r>
      <w:r>
        <w:t>you</w:t>
      </w:r>
      <w:r>
        <w:rPr>
          <w:spacing w:val="-7"/>
        </w:rPr>
        <w:t xml:space="preserve"> </w:t>
      </w:r>
      <w:r>
        <w:t>and</w:t>
      </w:r>
      <w:r>
        <w:rPr>
          <w:spacing w:val="-6"/>
        </w:rPr>
        <w:t xml:space="preserve"> </w:t>
      </w:r>
      <w:r>
        <w:t>to</w:t>
      </w:r>
      <w:r>
        <w:rPr>
          <w:spacing w:val="-5"/>
        </w:rPr>
        <w:t xml:space="preserve"> </w:t>
      </w:r>
      <w:r>
        <w:t>obtain</w:t>
      </w:r>
      <w:r>
        <w:rPr>
          <w:spacing w:val="-7"/>
        </w:rPr>
        <w:t xml:space="preserve"> </w:t>
      </w:r>
      <w:r>
        <w:t>information</w:t>
      </w:r>
      <w:r>
        <w:rPr>
          <w:spacing w:val="-8"/>
        </w:rPr>
        <w:t xml:space="preserve"> </w:t>
      </w:r>
      <w:r>
        <w:t>about</w:t>
      </w:r>
      <w:r>
        <w:rPr>
          <w:spacing w:val="-6"/>
        </w:rPr>
        <w:t xml:space="preserve"> </w:t>
      </w:r>
      <w:r>
        <w:t>how</w:t>
      </w:r>
      <w:r>
        <w:rPr>
          <w:spacing w:val="-4"/>
        </w:rPr>
        <w:t xml:space="preserve"> </w:t>
      </w:r>
      <w:r>
        <w:t>the RIA processes</w:t>
      </w:r>
      <w:r>
        <w:rPr>
          <w:spacing w:val="-2"/>
        </w:rPr>
        <w:t xml:space="preserve"> </w:t>
      </w:r>
      <w:r>
        <w:t>it;</w:t>
      </w:r>
    </w:p>
    <w:p>
      <w:pPr>
        <w:numPr>
          <w:ilvl w:val="0"/>
          <w:numId w:val="5"/>
        </w:numPr>
        <w:pBdr>
          <w:left w:val="none" w:sz="0" w:space="7" w:color="auto"/>
        </w:pBdr>
        <w:spacing w:line="257" w:lineRule="auto"/>
        <w:ind w:left="2120" w:right="1419" w:hanging="429"/>
        <w:jc w:val="left"/>
        <w:rPr>
          <w:rFonts w:ascii="Times New Roman" w:eastAsia="Times New Roman" w:hAnsi="Times New Roman" w:cs="Times New Roman"/>
        </w:rPr>
      </w:pPr>
      <w:r>
        <w:t>The right to request that the RIA rectify information the RIA holds about you if it is inaccurate or incomplete;</w:t>
      </w:r>
    </w:p>
    <w:p>
      <w:pPr>
        <w:numPr>
          <w:ilvl w:val="0"/>
          <w:numId w:val="5"/>
        </w:numPr>
        <w:pBdr>
          <w:left w:val="none" w:sz="0" w:space="7" w:color="auto"/>
        </w:pBdr>
        <w:ind w:left="2119" w:right="0" w:hanging="431"/>
        <w:jc w:val="left"/>
        <w:rPr>
          <w:rFonts w:ascii="Times New Roman" w:eastAsia="Times New Roman" w:hAnsi="Times New Roman" w:cs="Times New Roman"/>
        </w:rPr>
      </w:pPr>
      <w:r>
        <w:t>The right to object to and withdraw your consent to the processing of your</w:t>
      </w:r>
      <w:r>
        <w:rPr>
          <w:spacing w:val="-13"/>
        </w:rPr>
        <w:t xml:space="preserve"> </w:t>
      </w:r>
      <w:r>
        <w:t>information.</w:t>
      </w:r>
    </w:p>
    <w:p>
      <w:pPr>
        <w:numPr>
          <w:ilvl w:val="0"/>
          <w:numId w:val="5"/>
        </w:numPr>
        <w:pBdr>
          <w:left w:val="none" w:sz="0" w:space="7" w:color="auto"/>
        </w:pBdr>
        <w:spacing w:line="257" w:lineRule="auto"/>
        <w:ind w:left="2119" w:right="1417" w:hanging="430"/>
        <w:jc w:val="both"/>
        <w:rPr>
          <w:rFonts w:ascii="Times New Roman" w:eastAsia="Times New Roman" w:hAnsi="Times New Roman" w:cs="Times New Roman"/>
        </w:rPr>
      </w:pPr>
      <w:r>
        <w:t>This right can be exercised at any time. However, the RIA may continue to process your personal information if there is another legitimate reason or legal obligation for doing</w:t>
      </w:r>
      <w:r>
        <w:rPr>
          <w:spacing w:val="-19"/>
        </w:rPr>
        <w:t xml:space="preserve"> </w:t>
      </w:r>
      <w:r>
        <w:t>so.</w:t>
      </w:r>
    </w:p>
    <w:p>
      <w:pPr>
        <w:numPr>
          <w:ilvl w:val="0"/>
          <w:numId w:val="5"/>
        </w:numPr>
        <w:pBdr>
          <w:left w:val="none" w:sz="0" w:space="7" w:color="auto"/>
        </w:pBdr>
        <w:spacing w:line="257" w:lineRule="auto"/>
        <w:ind w:left="2119" w:right="1420" w:hanging="430"/>
        <w:jc w:val="both"/>
        <w:rPr>
          <w:rFonts w:ascii="Times New Roman" w:eastAsia="Times New Roman" w:hAnsi="Times New Roman" w:cs="Times New Roman"/>
        </w:rPr>
      </w:pPr>
      <w:r>
        <w:t>Please</w:t>
      </w:r>
      <w:r>
        <w:rPr>
          <w:spacing w:val="-8"/>
        </w:rPr>
        <w:t xml:space="preserve"> </w:t>
      </w:r>
      <w:r>
        <w:t>also</w:t>
      </w:r>
      <w:r>
        <w:rPr>
          <w:spacing w:val="-7"/>
        </w:rPr>
        <w:t xml:space="preserve"> </w:t>
      </w:r>
      <w:r>
        <w:t>note</w:t>
      </w:r>
      <w:r>
        <w:rPr>
          <w:spacing w:val="-7"/>
        </w:rPr>
        <w:t xml:space="preserve"> </w:t>
      </w:r>
      <w:r>
        <w:t>that</w:t>
      </w:r>
      <w:r>
        <w:rPr>
          <w:spacing w:val="-7"/>
        </w:rPr>
        <w:t xml:space="preserve"> </w:t>
      </w:r>
      <w:r>
        <w:t>depending</w:t>
      </w:r>
      <w:r>
        <w:rPr>
          <w:spacing w:val="-7"/>
        </w:rPr>
        <w:t xml:space="preserve"> </w:t>
      </w:r>
      <w:r>
        <w:t>on</w:t>
      </w:r>
      <w:r>
        <w:rPr>
          <w:spacing w:val="-7"/>
        </w:rPr>
        <w:t xml:space="preserve"> </w:t>
      </w:r>
      <w:r>
        <w:t>which</w:t>
      </w:r>
      <w:r>
        <w:rPr>
          <w:spacing w:val="-8"/>
        </w:rPr>
        <w:t xml:space="preserve"> </w:t>
      </w:r>
      <w:r>
        <w:t>kind</w:t>
      </w:r>
      <w:r>
        <w:rPr>
          <w:spacing w:val="-7"/>
        </w:rPr>
        <w:t xml:space="preserve"> </w:t>
      </w:r>
      <w:r>
        <w:t>of</w:t>
      </w:r>
      <w:r>
        <w:rPr>
          <w:spacing w:val="-7"/>
        </w:rPr>
        <w:t xml:space="preserve"> </w:t>
      </w:r>
      <w:r>
        <w:t>processing</w:t>
      </w:r>
      <w:r>
        <w:rPr>
          <w:spacing w:val="-7"/>
        </w:rPr>
        <w:t xml:space="preserve"> </w:t>
      </w:r>
      <w:r>
        <w:t>you</w:t>
      </w:r>
      <w:r>
        <w:rPr>
          <w:spacing w:val="-8"/>
        </w:rPr>
        <w:t xml:space="preserve"> </w:t>
      </w:r>
      <w:r>
        <w:t>object</w:t>
      </w:r>
      <w:r>
        <w:rPr>
          <w:spacing w:val="-7"/>
        </w:rPr>
        <w:t xml:space="preserve"> </w:t>
      </w:r>
      <w:r>
        <w:t>to,</w:t>
      </w:r>
      <w:r>
        <w:rPr>
          <w:spacing w:val="-7"/>
        </w:rPr>
        <w:t xml:space="preserve"> </w:t>
      </w:r>
      <w:r>
        <w:t>the</w:t>
      </w:r>
      <w:r>
        <w:rPr>
          <w:spacing w:val="-5"/>
        </w:rPr>
        <w:t xml:space="preserve"> </w:t>
      </w:r>
      <w:r>
        <w:t>RIA</w:t>
      </w:r>
      <w:r>
        <w:rPr>
          <w:spacing w:val="-7"/>
        </w:rPr>
        <w:t xml:space="preserve"> </w:t>
      </w:r>
      <w:r>
        <w:t>may</w:t>
      </w:r>
      <w:r>
        <w:rPr>
          <w:spacing w:val="-6"/>
        </w:rPr>
        <w:t xml:space="preserve"> </w:t>
      </w:r>
      <w:r>
        <w:t>no</w:t>
      </w:r>
      <w:r>
        <w:rPr>
          <w:spacing w:val="-6"/>
        </w:rPr>
        <w:t xml:space="preserve"> </w:t>
      </w:r>
      <w:r>
        <w:t>longer be able to perform financial services for</w:t>
      </w:r>
      <w:r>
        <w:rPr>
          <w:spacing w:val="-6"/>
        </w:rPr>
        <w:t xml:space="preserve"> </w:t>
      </w:r>
      <w:r>
        <w:t>you.</w:t>
      </w:r>
    </w:p>
    <w:p>
      <w:pPr>
        <w:numPr>
          <w:ilvl w:val="0"/>
          <w:numId w:val="5"/>
        </w:numPr>
        <w:pBdr>
          <w:left w:val="none" w:sz="0" w:space="7" w:color="auto"/>
        </w:pBdr>
        <w:spacing w:line="257" w:lineRule="auto"/>
        <w:ind w:left="2119" w:right="1417" w:hanging="430"/>
        <w:jc w:val="both"/>
        <w:rPr>
          <w:rFonts w:ascii="Times New Roman" w:eastAsia="Times New Roman" w:hAnsi="Times New Roman" w:cs="Times New Roman"/>
        </w:rPr>
      </w:pPr>
      <w:r>
        <w:t>In some circumstances, you have the right to receive certain information you have provided to the RIA in an electronic format and/or request that the RIA transmit it to a third</w:t>
      </w:r>
      <w:r>
        <w:rPr>
          <w:spacing w:val="-22"/>
        </w:rPr>
        <w:t xml:space="preserve"> </w:t>
      </w:r>
      <w:r>
        <w:t>party;</w:t>
      </w:r>
    </w:p>
    <w:p>
      <w:pPr>
        <w:numPr>
          <w:ilvl w:val="0"/>
          <w:numId w:val="5"/>
        </w:numPr>
        <w:pBdr>
          <w:left w:val="none" w:sz="0" w:space="7" w:color="auto"/>
        </w:pBdr>
        <w:spacing w:line="259" w:lineRule="auto"/>
        <w:ind w:left="2119" w:right="1416" w:hanging="430"/>
        <w:jc w:val="both"/>
        <w:rPr>
          <w:rFonts w:ascii="Times New Roman" w:eastAsia="Times New Roman" w:hAnsi="Times New Roman" w:cs="Times New Roman"/>
        </w:rPr>
      </w:pPr>
      <w:r>
        <w:t>In some circumstances, you have the right to request the erasure and deletion of personal data the</w:t>
      </w:r>
      <w:r>
        <w:rPr>
          <w:spacing w:val="-4"/>
        </w:rPr>
        <w:t xml:space="preserve"> </w:t>
      </w:r>
      <w:r>
        <w:t>RIA</w:t>
      </w:r>
      <w:r>
        <w:rPr>
          <w:spacing w:val="-4"/>
        </w:rPr>
        <w:t xml:space="preserve"> </w:t>
      </w:r>
      <w:r>
        <w:t>holds.</w:t>
      </w:r>
      <w:r>
        <w:rPr>
          <w:spacing w:val="-6"/>
        </w:rPr>
        <w:t xml:space="preserve"> </w:t>
      </w:r>
      <w:r>
        <w:t>The</w:t>
      </w:r>
      <w:r>
        <w:rPr>
          <w:spacing w:val="-4"/>
        </w:rPr>
        <w:t xml:space="preserve"> </w:t>
      </w:r>
      <w:r>
        <w:t>RIA</w:t>
      </w:r>
      <w:r>
        <w:rPr>
          <w:spacing w:val="-4"/>
        </w:rPr>
        <w:t xml:space="preserve"> </w:t>
      </w:r>
      <w:r>
        <w:t>may;</w:t>
      </w:r>
      <w:r>
        <w:rPr>
          <w:spacing w:val="-5"/>
        </w:rPr>
        <w:t xml:space="preserve"> </w:t>
      </w:r>
      <w:r>
        <w:t>however,</w:t>
      </w:r>
      <w:r>
        <w:rPr>
          <w:spacing w:val="-4"/>
        </w:rPr>
        <w:t xml:space="preserve"> </w:t>
      </w:r>
      <w:r>
        <w:t>continue</w:t>
      </w:r>
      <w:r>
        <w:rPr>
          <w:spacing w:val="-4"/>
        </w:rPr>
        <w:t xml:space="preserve"> </w:t>
      </w:r>
      <w:r>
        <w:t>to</w:t>
      </w:r>
      <w:r>
        <w:rPr>
          <w:spacing w:val="-5"/>
        </w:rPr>
        <w:t xml:space="preserve"> </w:t>
      </w:r>
      <w:r>
        <w:t>retain</w:t>
      </w:r>
      <w:r>
        <w:rPr>
          <w:spacing w:val="-5"/>
        </w:rPr>
        <w:t xml:space="preserve"> </w:t>
      </w:r>
      <w:r>
        <w:t>it</w:t>
      </w:r>
      <w:r>
        <w:rPr>
          <w:spacing w:val="-6"/>
        </w:rPr>
        <w:t xml:space="preserve"> </w:t>
      </w:r>
      <w:r>
        <w:t>if</w:t>
      </w:r>
      <w:r>
        <w:rPr>
          <w:spacing w:val="-3"/>
        </w:rPr>
        <w:t xml:space="preserve"> </w:t>
      </w:r>
      <w:r>
        <w:t>the</w:t>
      </w:r>
      <w:r>
        <w:rPr>
          <w:spacing w:val="-3"/>
        </w:rPr>
        <w:t xml:space="preserve"> </w:t>
      </w:r>
      <w:r>
        <w:t>RIA</w:t>
      </w:r>
      <w:r>
        <w:rPr>
          <w:spacing w:val="-5"/>
        </w:rPr>
        <w:t xml:space="preserve"> </w:t>
      </w:r>
      <w:r>
        <w:t>is</w:t>
      </w:r>
      <w:r>
        <w:rPr>
          <w:spacing w:val="-4"/>
        </w:rPr>
        <w:t xml:space="preserve"> </w:t>
      </w:r>
      <w:r>
        <w:t>entitled</w:t>
      </w:r>
      <w:r>
        <w:rPr>
          <w:spacing w:val="-6"/>
        </w:rPr>
        <w:t xml:space="preserve"> </w:t>
      </w:r>
      <w:r>
        <w:t>or</w:t>
      </w:r>
      <w:r>
        <w:rPr>
          <w:spacing w:val="-5"/>
        </w:rPr>
        <w:t xml:space="preserve"> </w:t>
      </w:r>
      <w:r>
        <w:t>required</w:t>
      </w:r>
      <w:r>
        <w:rPr>
          <w:spacing w:val="-3"/>
        </w:rPr>
        <w:t xml:space="preserve"> </w:t>
      </w:r>
      <w:r>
        <w:t>by</w:t>
      </w:r>
      <w:r>
        <w:rPr>
          <w:spacing w:val="-3"/>
        </w:rPr>
        <w:t xml:space="preserve"> </w:t>
      </w:r>
      <w:r>
        <w:t>law to do</w:t>
      </w:r>
      <w:r>
        <w:rPr>
          <w:spacing w:val="-3"/>
        </w:rPr>
        <w:t xml:space="preserve"> </w:t>
      </w:r>
      <w:r>
        <w:t>so;</w:t>
      </w:r>
    </w:p>
    <w:p>
      <w:pPr>
        <w:numPr>
          <w:ilvl w:val="0"/>
          <w:numId w:val="5"/>
        </w:numPr>
        <w:pBdr>
          <w:left w:val="none" w:sz="0" w:space="7" w:color="auto"/>
        </w:pBdr>
        <w:spacing w:after="0" w:line="259" w:lineRule="auto"/>
        <w:ind w:left="2119" w:right="1418" w:hanging="430"/>
        <w:jc w:val="both"/>
        <w:rPr>
          <w:rFonts w:ascii="Times New Roman" w:eastAsia="Times New Roman" w:hAnsi="Times New Roman" w:cs="Times New Roman"/>
        </w:rPr>
      </w:pPr>
      <w:r>
        <w:t>The</w:t>
      </w:r>
      <w:r>
        <w:rPr>
          <w:spacing w:val="-14"/>
        </w:rPr>
        <w:t xml:space="preserve"> </w:t>
      </w:r>
      <w:r>
        <w:t>right</w:t>
      </w:r>
      <w:r>
        <w:rPr>
          <w:spacing w:val="-13"/>
        </w:rPr>
        <w:t xml:space="preserve"> </w:t>
      </w:r>
      <w:r>
        <w:t>to</w:t>
      </w:r>
      <w:r>
        <w:rPr>
          <w:spacing w:val="-13"/>
        </w:rPr>
        <w:t xml:space="preserve"> </w:t>
      </w:r>
      <w:r>
        <w:t>object</w:t>
      </w:r>
      <w:r>
        <w:rPr>
          <w:spacing w:val="-13"/>
        </w:rPr>
        <w:t xml:space="preserve"> </w:t>
      </w:r>
      <w:r>
        <w:t>to,</w:t>
      </w:r>
      <w:r>
        <w:rPr>
          <w:spacing w:val="-13"/>
        </w:rPr>
        <w:t xml:space="preserve"> </w:t>
      </w:r>
      <w:r>
        <w:t>and</w:t>
      </w:r>
      <w:r>
        <w:rPr>
          <w:spacing w:val="-13"/>
        </w:rPr>
        <w:t xml:space="preserve"> </w:t>
      </w:r>
      <w:r>
        <w:t>to</w:t>
      </w:r>
      <w:r>
        <w:rPr>
          <w:spacing w:val="-13"/>
        </w:rPr>
        <w:t xml:space="preserve"> </w:t>
      </w:r>
      <w:r>
        <w:t>request</w:t>
      </w:r>
      <w:r>
        <w:rPr>
          <w:spacing w:val="-13"/>
        </w:rPr>
        <w:t xml:space="preserve"> </w:t>
      </w:r>
      <w:r>
        <w:t>that</w:t>
      </w:r>
      <w:r>
        <w:rPr>
          <w:spacing w:val="-13"/>
        </w:rPr>
        <w:t xml:space="preserve"> </w:t>
      </w:r>
      <w:r>
        <w:t>the</w:t>
      </w:r>
      <w:r>
        <w:rPr>
          <w:spacing w:val="-14"/>
        </w:rPr>
        <w:t xml:space="preserve"> </w:t>
      </w:r>
      <w:r>
        <w:t>RIA</w:t>
      </w:r>
      <w:r>
        <w:rPr>
          <w:spacing w:val="-14"/>
        </w:rPr>
        <w:t xml:space="preserve"> </w:t>
      </w:r>
      <w:r>
        <w:t>restrict,</w:t>
      </w:r>
      <w:r>
        <w:rPr>
          <w:spacing w:val="-12"/>
        </w:rPr>
        <w:t xml:space="preserve"> </w:t>
      </w:r>
      <w:r>
        <w:t>the</w:t>
      </w:r>
      <w:r>
        <w:rPr>
          <w:spacing w:val="-11"/>
        </w:rPr>
        <w:t xml:space="preserve"> </w:t>
      </w:r>
      <w:r>
        <w:t>RIA’s</w:t>
      </w:r>
      <w:r>
        <w:rPr>
          <w:spacing w:val="-13"/>
        </w:rPr>
        <w:t xml:space="preserve"> </w:t>
      </w:r>
      <w:r>
        <w:t>processing</w:t>
      </w:r>
      <w:r>
        <w:rPr>
          <w:spacing w:val="-14"/>
        </w:rPr>
        <w:t xml:space="preserve"> </w:t>
      </w:r>
      <w:r>
        <w:t>of</w:t>
      </w:r>
      <w:r>
        <w:rPr>
          <w:spacing w:val="-11"/>
        </w:rPr>
        <w:t xml:space="preserve"> </w:t>
      </w:r>
      <w:r>
        <w:t>your</w:t>
      </w:r>
      <w:r>
        <w:rPr>
          <w:spacing w:val="-14"/>
        </w:rPr>
        <w:t xml:space="preserve"> </w:t>
      </w:r>
      <w:r>
        <w:t>information in some circumstances. Please note that despite this general right the RIA may be entitled under law to continue processing the information and/or to refuse that</w:t>
      </w:r>
      <w:r>
        <w:rPr>
          <w:spacing w:val="-9"/>
        </w:rPr>
        <w:t xml:space="preserve"> </w:t>
      </w:r>
      <w:r>
        <w:t>request.</w:t>
      </w:r>
    </w:p>
    <w:p>
      <w:pPr>
        <w:spacing w:before="117" w:after="0"/>
        <w:ind w:left="1400" w:right="1420" w:hanging="1"/>
        <w:jc w:val="both"/>
      </w:pPr>
      <w:r>
        <w:t xml:space="preserve">To exercise any of the above rights, you should write to </w:t>
      </w:r>
      <w:hyperlink r:id="rId6" w:history="1">
        <w:r>
          <w:rPr>
            <w:color w:val="0000FF"/>
            <w:u w:val="single" w:color="0000FF"/>
          </w:rPr>
          <w:t>dataprivacy@orix.com</w:t>
        </w:r>
        <w:r>
          <w:rPr>
            <w:color w:val="000000"/>
          </w:rPr>
          <w:t>.</w:t>
        </w:r>
      </w:hyperlink>
      <w:r>
        <w:t xml:space="preserve"> The RIA will then assess and respond to your request to exercise your rights.</w:t>
      </w:r>
    </w:p>
    <w:p>
      <w:pPr>
        <w:spacing w:before="0" w:after="0"/>
        <w:rPr>
          <w:rFonts w:ascii="Calibri" w:eastAsia="Calibri" w:hAnsi="Calibri" w:cs="Calibri"/>
          <w:sz w:val="22"/>
          <w:szCs w:val="22"/>
        </w:rPr>
      </w:pPr>
    </w:p>
    <w:p>
      <w:pPr>
        <w:spacing w:before="9" w:after="0"/>
        <w:rPr>
          <w:rFonts w:ascii="Calibri" w:eastAsia="Calibri" w:hAnsi="Calibri" w:cs="Calibri"/>
          <w:sz w:val="19"/>
          <w:szCs w:val="19"/>
        </w:rPr>
      </w:pPr>
    </w:p>
    <w:p>
      <w:pPr>
        <w:spacing w:before="0" w:after="0" w:line="346" w:lineRule="auto"/>
        <w:ind w:left="2119" w:right="3749" w:hanging="720"/>
      </w:pPr>
      <w:r>
        <w:t xml:space="preserve">You also have a right to make a complaint to the Office of the Ombudsman in the Cayman Islands at: </w:t>
      </w:r>
    </w:p>
    <w:p>
      <w:pPr>
        <w:spacing w:before="3" w:after="0"/>
        <w:ind w:left="2119"/>
      </w:pPr>
      <w:r>
        <w:t>PB Box 2252,</w:t>
      </w:r>
    </w:p>
    <w:p>
      <w:pPr>
        <w:spacing w:before="120" w:after="0" w:line="348" w:lineRule="auto"/>
        <w:ind w:left="2119" w:right="7250"/>
      </w:pPr>
      <w:r>
        <w:t>Grand Cayman, Cayman Islands KY1-1107</w:t>
      </w:r>
    </w:p>
    <w:p>
      <w:pPr>
        <w:spacing w:before="0" w:after="0"/>
        <w:ind w:left="2119" w:right="7520"/>
      </w:pPr>
      <w:r>
        <w:t xml:space="preserve">Email: </w:t>
      </w:r>
      <w:hyperlink r:id="rId7" w:history="1">
        <w:r>
          <w:rPr>
            <w:color w:val="000000"/>
          </w:rPr>
          <w:t>info@ombudsman.ky</w:t>
        </w:r>
      </w:hyperlink>
      <w:r>
        <w:t xml:space="preserve"> Phone: 1(345)946 6283</w:t>
      </w:r>
    </w:p>
    <w:p>
      <w:pPr>
        <w:spacing w:before="10" w:after="0"/>
        <w:rPr>
          <w:rFonts w:ascii="Calibri" w:eastAsia="Calibri" w:hAnsi="Calibri" w:cs="Calibri"/>
          <w:sz w:val="21"/>
          <w:szCs w:val="21"/>
        </w:rPr>
      </w:pPr>
    </w:p>
    <w:p>
      <w:pPr>
        <w:pStyle w:val="Heading1"/>
        <w:keepNext w:val="0"/>
        <w:keepLines w:val="0"/>
        <w:spacing w:before="1"/>
        <w:ind w:left="1399"/>
        <w:jc w:val="both"/>
        <w:rPr>
          <w:b/>
          <w:bCs/>
        </w:rPr>
      </w:pPr>
      <w:r>
        <w:rPr>
          <w:rFonts w:ascii="Calibri" w:eastAsia="Calibri" w:hAnsi="Calibri" w:cs="Calibri"/>
          <w:i w:val="0"/>
          <w:color w:val="auto"/>
          <w:sz w:val="22"/>
          <w:szCs w:val="22"/>
        </w:rPr>
        <w:t>Automated Decision Making</w:t>
      </w:r>
    </w:p>
    <w:p>
      <w:pPr>
        <w:spacing w:before="11" w:after="0"/>
        <w:rPr>
          <w:rFonts w:ascii="Calibri" w:eastAsia="Calibri" w:hAnsi="Calibri" w:cs="Calibri"/>
          <w:b/>
          <w:bCs/>
          <w:sz w:val="21"/>
          <w:szCs w:val="21"/>
        </w:rPr>
      </w:pPr>
    </w:p>
    <w:p>
      <w:pPr>
        <w:spacing w:before="0" w:after="0"/>
        <w:ind w:left="1399" w:right="1418"/>
        <w:jc w:val="both"/>
      </w:pPr>
      <w:r>
        <w:t>In</w:t>
      </w:r>
      <w:r>
        <w:rPr>
          <w:spacing w:val="-13"/>
        </w:rPr>
        <w:t xml:space="preserve"> </w:t>
      </w:r>
      <w:r>
        <w:t>establishing</w:t>
      </w:r>
      <w:r>
        <w:rPr>
          <w:spacing w:val="-14"/>
        </w:rPr>
        <w:t xml:space="preserve"> </w:t>
      </w:r>
      <w:r>
        <w:t>and</w:t>
      </w:r>
      <w:r>
        <w:rPr>
          <w:spacing w:val="-13"/>
        </w:rPr>
        <w:t xml:space="preserve"> </w:t>
      </w:r>
      <w:r>
        <w:t>carrying</w:t>
      </w:r>
      <w:r>
        <w:rPr>
          <w:spacing w:val="-14"/>
        </w:rPr>
        <w:t xml:space="preserve"> </w:t>
      </w:r>
      <w:r>
        <w:t>out</w:t>
      </w:r>
      <w:r>
        <w:rPr>
          <w:spacing w:val="-14"/>
        </w:rPr>
        <w:t xml:space="preserve"> </w:t>
      </w:r>
      <w:r>
        <w:t>a</w:t>
      </w:r>
      <w:r>
        <w:rPr>
          <w:spacing w:val="-12"/>
        </w:rPr>
        <w:t xml:space="preserve"> </w:t>
      </w:r>
      <w:r>
        <w:t>business</w:t>
      </w:r>
      <w:r>
        <w:rPr>
          <w:spacing w:val="-13"/>
        </w:rPr>
        <w:t xml:space="preserve"> </w:t>
      </w:r>
      <w:r>
        <w:t>relationship,</w:t>
      </w:r>
      <w:r>
        <w:rPr>
          <w:spacing w:val="-13"/>
        </w:rPr>
        <w:t xml:space="preserve"> </w:t>
      </w:r>
      <w:r>
        <w:t>the</w:t>
      </w:r>
      <w:r>
        <w:rPr>
          <w:spacing w:val="-13"/>
        </w:rPr>
        <w:t xml:space="preserve"> </w:t>
      </w:r>
      <w:r>
        <w:t>RIA</w:t>
      </w:r>
      <w:r>
        <w:rPr>
          <w:spacing w:val="-11"/>
        </w:rPr>
        <w:t xml:space="preserve"> </w:t>
      </w:r>
      <w:r>
        <w:t>does</w:t>
      </w:r>
      <w:r>
        <w:rPr>
          <w:spacing w:val="-13"/>
        </w:rPr>
        <w:t xml:space="preserve"> </w:t>
      </w:r>
      <w:r>
        <w:t>not</w:t>
      </w:r>
      <w:r>
        <w:rPr>
          <w:spacing w:val="-12"/>
        </w:rPr>
        <w:t xml:space="preserve"> </w:t>
      </w:r>
      <w:r>
        <w:t>use</w:t>
      </w:r>
      <w:r>
        <w:rPr>
          <w:spacing w:val="-13"/>
        </w:rPr>
        <w:t xml:space="preserve"> </w:t>
      </w:r>
      <w:r>
        <w:t>any</w:t>
      </w:r>
      <w:r>
        <w:rPr>
          <w:spacing w:val="-14"/>
        </w:rPr>
        <w:t xml:space="preserve"> </w:t>
      </w:r>
      <w:r>
        <w:t>fully</w:t>
      </w:r>
      <w:r>
        <w:rPr>
          <w:spacing w:val="-12"/>
        </w:rPr>
        <w:t xml:space="preserve"> </w:t>
      </w:r>
      <w:r>
        <w:t>automated</w:t>
      </w:r>
      <w:r>
        <w:rPr>
          <w:spacing w:val="-13"/>
        </w:rPr>
        <w:t xml:space="preserve"> </w:t>
      </w:r>
      <w:r>
        <w:t>decision- making. If this should change, the RIA will inform you</w:t>
      </w:r>
      <w:r>
        <w:rPr>
          <w:spacing w:val="-9"/>
        </w:rPr>
        <w:t xml:space="preserve"> </w:t>
      </w:r>
      <w:r>
        <w:t>separately.</w:t>
      </w:r>
    </w:p>
    <w:p>
      <w:pPr>
        <w:spacing w:before="1" w:after="0"/>
        <w:rPr>
          <w:rFonts w:ascii="Calibri" w:eastAsia="Calibri" w:hAnsi="Calibri" w:cs="Calibri"/>
          <w:sz w:val="22"/>
          <w:szCs w:val="22"/>
        </w:rPr>
      </w:pPr>
    </w:p>
    <w:p>
      <w:pPr>
        <w:pStyle w:val="Heading1"/>
        <w:keepNext w:val="0"/>
        <w:keepLines w:val="0"/>
        <w:spacing w:before="0"/>
        <w:ind w:left="1399"/>
        <w:jc w:val="both"/>
        <w:rPr>
          <w:b/>
          <w:bCs/>
        </w:rPr>
      </w:pPr>
      <w:r>
        <w:rPr>
          <w:rFonts w:ascii="Calibri" w:eastAsia="Calibri" w:hAnsi="Calibri" w:cs="Calibri"/>
          <w:i w:val="0"/>
          <w:color w:val="auto"/>
          <w:sz w:val="22"/>
          <w:szCs w:val="22"/>
        </w:rPr>
        <w:t>Effective Date</w:t>
      </w:r>
    </w:p>
    <w:p>
      <w:pPr>
        <w:spacing w:before="0" w:after="0"/>
        <w:ind w:left="1399" w:right="1418"/>
        <w:jc w:val="both"/>
      </w:pPr>
      <w:r>
        <w:t>This privacy notice took effect on October 31, 2020 and was last updated in June 2024. The RIA may need to make further changes to it in the future. The RIA will post updates to this privacy notice on its website.</w:t>
      </w:r>
    </w:p>
    <w:sectPr>
      <w:type w:val="nextPage"/>
      <w:pgSz w:w="12240" w:h="15840"/>
      <w:pgMar w:top="1400" w:right="20" w:bottom="720" w:left="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4" w:lineRule="auto"/>
      <w:rPr>
        <w:rFonts w:ascii="Calibri" w:eastAsia="Calibri" w:hAnsi="Calibri" w:cs="Calibri"/>
        <w:sz w:val="20"/>
        <w:szCs w:val="20"/>
      </w:rPr>
    </w:pPr>
    <w:r>
      <w:rPr>
        <w:strike w:val="0"/>
        <w:sz w:val="20"/>
        <w:szCs w:val="20"/>
        <w:u w:val="none"/>
      </w:rPr>
      <w:drawing>
        <wp:anchor simplePos="0" relativeHeight="251658240" behindDoc="1" locked="0" layoutInCell="1" allowOverlap="1">
          <wp:simplePos x="0" y="0"/>
          <wp:positionH relativeFrom="page">
            <wp:posOffset>3763645</wp:posOffset>
          </wp:positionH>
          <wp:positionV relativeFrom="page">
            <wp:posOffset>9586595</wp:posOffset>
          </wp:positionV>
          <wp:extent cx="247650" cy="142875"/>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247650" cy="142875"/>
                  </a:xfrm>
                  <a:prstGeom prst="rect">
                    <a:avLst/>
                  </a:prstGeom>
                </pic:spPr>
              </pic:pic>
            </a:graphicData>
          </a:graphic>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widowControl w:val="0"/>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mailto:dataprivacy@orix.com" TargetMode="External" /><Relationship Id="rId7" Type="http://schemas.openxmlformats.org/officeDocument/2006/relationships/hyperlink" Target="mailto:info@ombudsman.ky"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